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3382" w14:textId="719DA0A6" w:rsidR="00334DF2" w:rsidRPr="001509A7" w:rsidRDefault="00334DF2" w:rsidP="001509A7">
      <w:pPr>
        <w:rPr>
          <w:b/>
          <w:bCs/>
          <w:sz w:val="24"/>
        </w:rPr>
      </w:pPr>
      <w:r w:rsidRPr="001509A7">
        <w:rPr>
          <w:b/>
          <w:bCs/>
          <w:sz w:val="24"/>
        </w:rPr>
        <w:t>Journal of Development Economics</w:t>
      </w:r>
      <w:r w:rsidR="0039648E" w:rsidRPr="001509A7">
        <w:rPr>
          <w:b/>
          <w:bCs/>
          <w:sz w:val="24"/>
        </w:rPr>
        <w:t xml:space="preserve"> </w:t>
      </w:r>
      <w:r w:rsidRPr="001509A7">
        <w:rPr>
          <w:b/>
          <w:bCs/>
          <w:sz w:val="24"/>
        </w:rPr>
        <w:t>Registered Report Stage 1: Proposal</w:t>
      </w:r>
    </w:p>
    <w:p w14:paraId="4990D5AD" w14:textId="77777777" w:rsidR="0039648E" w:rsidRDefault="0039648E" w:rsidP="00B75E95">
      <w:pPr>
        <w:pStyle w:val="Title"/>
      </w:pPr>
    </w:p>
    <w:p w14:paraId="2E5DC3CA" w14:textId="4728FE42" w:rsidR="00334DF2" w:rsidRPr="006A3DD3" w:rsidRDefault="006A3DD3" w:rsidP="00B75E95">
      <w:pPr>
        <w:pStyle w:val="Title"/>
      </w:pPr>
      <w:r w:rsidRPr="006A3DD3">
        <w:t xml:space="preserve">The </w:t>
      </w:r>
      <w:r w:rsidR="00252827">
        <w:t>impact</w:t>
      </w:r>
      <w:r w:rsidR="00252827" w:rsidRPr="006A3DD3">
        <w:t xml:space="preserve"> </w:t>
      </w:r>
      <w:r w:rsidRPr="006A3DD3">
        <w:t xml:space="preserve">of a </w:t>
      </w:r>
      <w:r w:rsidR="009347B9">
        <w:t xml:space="preserve">reduced </w:t>
      </w:r>
      <w:r w:rsidRPr="006A3DD3">
        <w:t>graduation model program on child nutrition in rural Ethiopia</w:t>
      </w:r>
      <w:r w:rsidR="00252827">
        <w:t>: Evidence from a randomized controlled trial</w:t>
      </w:r>
    </w:p>
    <w:p w14:paraId="66D7A0CB" w14:textId="77777777" w:rsidR="0039648E" w:rsidRDefault="0039648E" w:rsidP="00334DF2">
      <w:pPr>
        <w:rPr>
          <w:b/>
        </w:rPr>
      </w:pPr>
    </w:p>
    <w:p w14:paraId="0F7FAA41" w14:textId="5AFDE6E2" w:rsidR="0032696B" w:rsidRPr="008517EE" w:rsidRDefault="0039648E" w:rsidP="00334DF2">
      <w:pPr>
        <w:rPr>
          <w:bCs/>
        </w:rPr>
      </w:pPr>
      <w:r w:rsidRPr="008517EE">
        <w:rPr>
          <w:bCs/>
        </w:rPr>
        <w:t>Jessica Leight</w:t>
      </w:r>
      <w:r w:rsidR="007133B5">
        <w:rPr>
          <w:bCs/>
        </w:rPr>
        <w:t xml:space="preserve"> </w:t>
      </w:r>
      <w:r w:rsidR="007133B5" w:rsidRPr="008517EE">
        <w:rPr>
          <w:bCs/>
          <w:vertAlign w:val="superscript"/>
        </w:rPr>
        <w:t>a</w:t>
      </w:r>
      <w:r w:rsidRPr="008517EE">
        <w:rPr>
          <w:bCs/>
        </w:rPr>
        <w:t>, Kalle Hirvonen</w:t>
      </w:r>
      <w:r w:rsidR="007133B5">
        <w:rPr>
          <w:bCs/>
        </w:rPr>
        <w:t xml:space="preserve"> </w:t>
      </w:r>
      <w:proofErr w:type="gramStart"/>
      <w:r w:rsidR="007133B5" w:rsidRPr="00CB0F8F">
        <w:rPr>
          <w:bCs/>
          <w:vertAlign w:val="superscript"/>
        </w:rPr>
        <w:t>a</w:t>
      </w:r>
      <w:r w:rsidR="007133B5">
        <w:rPr>
          <w:bCs/>
          <w:vertAlign w:val="superscript"/>
        </w:rPr>
        <w:t>,b</w:t>
      </w:r>
      <w:proofErr w:type="gramEnd"/>
      <w:r w:rsidRPr="008517EE">
        <w:rPr>
          <w:bCs/>
        </w:rPr>
        <w:t>, Dan</w:t>
      </w:r>
      <w:r w:rsidR="00BB18AD">
        <w:rPr>
          <w:bCs/>
        </w:rPr>
        <w:t>iel O.</w:t>
      </w:r>
      <w:r w:rsidRPr="008517EE">
        <w:rPr>
          <w:bCs/>
        </w:rPr>
        <w:t xml:space="preserve"> Gilliga</w:t>
      </w:r>
      <w:r w:rsidR="007133B5">
        <w:rPr>
          <w:bCs/>
        </w:rPr>
        <w:t xml:space="preserve">n </w:t>
      </w:r>
      <w:r w:rsidR="007133B5" w:rsidRPr="00CB0F8F">
        <w:rPr>
          <w:bCs/>
          <w:vertAlign w:val="superscript"/>
        </w:rPr>
        <w:t>a</w:t>
      </w:r>
      <w:r w:rsidRPr="008517EE">
        <w:rPr>
          <w:bCs/>
        </w:rPr>
        <w:t xml:space="preserve">, </w:t>
      </w:r>
      <w:r w:rsidR="001509A7" w:rsidRPr="008517EE">
        <w:rPr>
          <w:bCs/>
        </w:rPr>
        <w:t>Michael Mulford</w:t>
      </w:r>
      <w:r w:rsidR="007133B5">
        <w:rPr>
          <w:bCs/>
        </w:rPr>
        <w:t xml:space="preserve"> </w:t>
      </w:r>
      <w:r w:rsidR="007133B5">
        <w:rPr>
          <w:bCs/>
          <w:vertAlign w:val="superscript"/>
        </w:rPr>
        <w:t>c</w:t>
      </w:r>
      <w:r w:rsidR="001509A7" w:rsidRPr="008517EE">
        <w:rPr>
          <w:bCs/>
        </w:rPr>
        <w:t xml:space="preserve"> </w:t>
      </w:r>
      <w:r w:rsidRPr="008517EE">
        <w:rPr>
          <w:bCs/>
        </w:rPr>
        <w:t>and Haleluya Tesfaye</w:t>
      </w:r>
      <w:r w:rsidR="007133B5">
        <w:rPr>
          <w:bCs/>
        </w:rPr>
        <w:t xml:space="preserve"> </w:t>
      </w:r>
      <w:r w:rsidR="007133B5" w:rsidRPr="00CB0F8F">
        <w:rPr>
          <w:bCs/>
          <w:vertAlign w:val="superscript"/>
        </w:rPr>
        <w:t>a</w:t>
      </w:r>
    </w:p>
    <w:p w14:paraId="0DF575DF" w14:textId="77777777" w:rsidR="007133B5" w:rsidRDefault="007133B5" w:rsidP="00334DF2">
      <w:pPr>
        <w:rPr>
          <w:vertAlign w:val="superscript"/>
        </w:rPr>
      </w:pPr>
    </w:p>
    <w:p w14:paraId="4C35F778" w14:textId="026130F7" w:rsidR="0039648E" w:rsidRDefault="007133B5" w:rsidP="00334DF2">
      <w:proofErr w:type="gramStart"/>
      <w:r w:rsidRPr="008517EE">
        <w:rPr>
          <w:vertAlign w:val="superscript"/>
        </w:rPr>
        <w:t>a</w:t>
      </w:r>
      <w:proofErr w:type="gramEnd"/>
      <w:r>
        <w:t xml:space="preserve"> International Food Policy Research Institute</w:t>
      </w:r>
      <w:r w:rsidR="00BB18AD">
        <w:t xml:space="preserve"> (IFPRI)</w:t>
      </w:r>
      <w:r>
        <w:t xml:space="preserve">, </w:t>
      </w:r>
      <w:r w:rsidRPr="008517EE">
        <w:rPr>
          <w:vertAlign w:val="superscript"/>
        </w:rPr>
        <w:t>b</w:t>
      </w:r>
      <w:r>
        <w:t xml:space="preserve"> </w:t>
      </w:r>
      <w:r w:rsidRPr="007133B5">
        <w:t>United Nations University World Institute for Development Economics Research</w:t>
      </w:r>
      <w:r w:rsidR="00BB18AD">
        <w:t xml:space="preserve"> (UNU-WIDER)</w:t>
      </w:r>
      <w:r>
        <w:t xml:space="preserve">, </w:t>
      </w:r>
      <w:r w:rsidRPr="008517EE">
        <w:rPr>
          <w:vertAlign w:val="superscript"/>
        </w:rPr>
        <w:t>c</w:t>
      </w:r>
      <w:r>
        <w:t xml:space="preserve"> World Vision</w:t>
      </w:r>
    </w:p>
    <w:p w14:paraId="761CD914" w14:textId="77777777" w:rsidR="007133B5" w:rsidRPr="0039648E" w:rsidRDefault="007133B5" w:rsidP="00334DF2"/>
    <w:p w14:paraId="5E2CF3BF" w14:textId="5098C8C7" w:rsidR="00334DF2" w:rsidRDefault="00334DF2" w:rsidP="00C86B00">
      <w:pPr>
        <w:jc w:val="center"/>
      </w:pPr>
      <w:r w:rsidRPr="0039648E">
        <w:rPr>
          <w:b/>
        </w:rPr>
        <w:t>Date of latest draft:</w:t>
      </w:r>
      <w:r w:rsidRPr="0039648E">
        <w:t xml:space="preserve"> </w:t>
      </w:r>
      <w:r w:rsidR="00724DA3">
        <w:fldChar w:fldCharType="begin"/>
      </w:r>
      <w:r w:rsidR="00724DA3">
        <w:instrText xml:space="preserve"> DATE \@ "M/d/yyyy" </w:instrText>
      </w:r>
      <w:r w:rsidR="00724DA3">
        <w:fldChar w:fldCharType="separate"/>
      </w:r>
      <w:r w:rsidR="007400D7">
        <w:rPr>
          <w:noProof/>
        </w:rPr>
        <w:t>9/11/2023</w:t>
      </w:r>
      <w:r w:rsidR="00724DA3">
        <w:fldChar w:fldCharType="end"/>
      </w:r>
    </w:p>
    <w:p w14:paraId="4B91F539" w14:textId="22380519" w:rsidR="00C86B00" w:rsidRDefault="00C86B00" w:rsidP="00334DF2"/>
    <w:p w14:paraId="6E7B9D41" w14:textId="0EFED8AD" w:rsidR="00B411E4" w:rsidRDefault="00B411E4" w:rsidP="00B411E4">
      <w:pPr>
        <w:pStyle w:val="Heading2"/>
        <w:jc w:val="center"/>
      </w:pPr>
      <w:bookmarkStart w:id="0" w:name="_Toc519758672"/>
      <w:bookmarkStart w:id="1" w:name="_Toc22739143"/>
      <w:bookmarkStart w:id="2" w:name="_Toc22739606"/>
      <w:bookmarkStart w:id="3" w:name="_Toc126582972"/>
      <w:r w:rsidRPr="00334DF2">
        <w:t>Abstract</w:t>
      </w:r>
      <w:bookmarkEnd w:id="0"/>
      <w:bookmarkEnd w:id="1"/>
      <w:bookmarkEnd w:id="2"/>
      <w:bookmarkEnd w:id="3"/>
    </w:p>
    <w:p w14:paraId="0C837AD7" w14:textId="1559B795" w:rsidR="006A3DD3" w:rsidRPr="0039648E" w:rsidRDefault="00B730B1" w:rsidP="001509A7">
      <w:pPr>
        <w:spacing w:after="160" w:line="360" w:lineRule="auto"/>
        <w:rPr>
          <w:szCs w:val="20"/>
        </w:rPr>
      </w:pPr>
      <w:r w:rsidRPr="0039648E">
        <w:rPr>
          <w:szCs w:val="20"/>
        </w:rPr>
        <w:t xml:space="preserve">We </w:t>
      </w:r>
      <w:r w:rsidR="004575F0" w:rsidRPr="0039648E">
        <w:rPr>
          <w:szCs w:val="20"/>
        </w:rPr>
        <w:t>conduct</w:t>
      </w:r>
      <w:r w:rsidRPr="0039648E">
        <w:rPr>
          <w:szCs w:val="20"/>
        </w:rPr>
        <w:t xml:space="preserve"> a cluster randomized control</w:t>
      </w:r>
      <w:r w:rsidR="00947995">
        <w:rPr>
          <w:szCs w:val="20"/>
        </w:rPr>
        <w:t>led</w:t>
      </w:r>
      <w:r w:rsidRPr="0039648E">
        <w:rPr>
          <w:szCs w:val="20"/>
        </w:rPr>
        <w:t xml:space="preserve"> trial </w:t>
      </w:r>
      <w:r w:rsidR="00A74E35" w:rsidRPr="0039648E">
        <w:rPr>
          <w:szCs w:val="20"/>
        </w:rPr>
        <w:t>evaluating</w:t>
      </w:r>
      <w:r w:rsidR="006A3DD3" w:rsidRPr="0039648E">
        <w:rPr>
          <w:szCs w:val="20"/>
        </w:rPr>
        <w:t xml:space="preserve"> a </w:t>
      </w:r>
      <w:r w:rsidR="00A74E35" w:rsidRPr="0039648E">
        <w:rPr>
          <w:szCs w:val="20"/>
        </w:rPr>
        <w:t xml:space="preserve">reduced </w:t>
      </w:r>
      <w:r w:rsidR="006A3DD3" w:rsidRPr="0039648E">
        <w:rPr>
          <w:szCs w:val="20"/>
        </w:rPr>
        <w:t xml:space="preserve">graduation model intervention addressing the high rates of chronic undernutrition among young children in </w:t>
      </w:r>
      <w:r w:rsidR="004575F0" w:rsidRPr="0039648E">
        <w:rPr>
          <w:szCs w:val="20"/>
        </w:rPr>
        <w:t xml:space="preserve">the poorest households (beneficiaries of the Productive Safety Net Program) in </w:t>
      </w:r>
      <w:r w:rsidR="006A3DD3" w:rsidRPr="0039648E">
        <w:rPr>
          <w:szCs w:val="20"/>
        </w:rPr>
        <w:t xml:space="preserve">rural Ethiopia. We hypothesize that </w:t>
      </w:r>
      <w:r w:rsidR="004575F0" w:rsidRPr="0039648E">
        <w:rPr>
          <w:szCs w:val="20"/>
        </w:rPr>
        <w:t xml:space="preserve">a set of </w:t>
      </w:r>
      <w:r w:rsidR="00065703" w:rsidRPr="0039648E">
        <w:rPr>
          <w:szCs w:val="20"/>
        </w:rPr>
        <w:t>limited</w:t>
      </w:r>
      <w:r w:rsidR="00A74E35" w:rsidRPr="0039648E">
        <w:rPr>
          <w:szCs w:val="20"/>
        </w:rPr>
        <w:t xml:space="preserve"> </w:t>
      </w:r>
      <w:r w:rsidR="006A3DD3" w:rsidRPr="0039648E">
        <w:rPr>
          <w:szCs w:val="20"/>
        </w:rPr>
        <w:t xml:space="preserve">livelihood interventions coupled with behavioral change communication </w:t>
      </w:r>
      <w:r w:rsidR="004575F0" w:rsidRPr="0039648E">
        <w:rPr>
          <w:szCs w:val="20"/>
        </w:rPr>
        <w:t xml:space="preserve">delivered via nurturing care groups and maternal cash grants </w:t>
      </w:r>
      <w:r w:rsidR="006A3DD3" w:rsidRPr="0039648E">
        <w:rPr>
          <w:szCs w:val="20"/>
        </w:rPr>
        <w:t xml:space="preserve">will improve </w:t>
      </w:r>
      <w:r w:rsidR="00015062">
        <w:rPr>
          <w:szCs w:val="20"/>
        </w:rPr>
        <w:t xml:space="preserve">child nutritional status through improved </w:t>
      </w:r>
      <w:r w:rsidR="006A3DD3" w:rsidRPr="0039648E">
        <w:rPr>
          <w:szCs w:val="20"/>
        </w:rPr>
        <w:t xml:space="preserve">child feeding practices, </w:t>
      </w:r>
      <w:r w:rsidR="00015062">
        <w:rPr>
          <w:szCs w:val="20"/>
        </w:rPr>
        <w:t>reduced</w:t>
      </w:r>
      <w:r w:rsidR="00015062" w:rsidRPr="0039648E">
        <w:rPr>
          <w:szCs w:val="20"/>
        </w:rPr>
        <w:t xml:space="preserve"> </w:t>
      </w:r>
      <w:r w:rsidR="006A3DD3" w:rsidRPr="0039648E">
        <w:rPr>
          <w:szCs w:val="20"/>
        </w:rPr>
        <w:t>growth faltering, and enhance</w:t>
      </w:r>
      <w:r w:rsidR="00015062">
        <w:rPr>
          <w:szCs w:val="20"/>
        </w:rPr>
        <w:t>d</w:t>
      </w:r>
      <w:r w:rsidR="006A3DD3" w:rsidRPr="0039648E">
        <w:rPr>
          <w:szCs w:val="20"/>
        </w:rPr>
        <w:t xml:space="preserve"> household livelihood</w:t>
      </w:r>
      <w:r w:rsidR="00A12FAB">
        <w:rPr>
          <w:szCs w:val="20"/>
        </w:rPr>
        <w:t>s</w:t>
      </w:r>
      <w:r w:rsidR="006A3DD3" w:rsidRPr="0039648E">
        <w:rPr>
          <w:szCs w:val="20"/>
        </w:rPr>
        <w:t xml:space="preserve">. </w:t>
      </w:r>
      <w:r w:rsidR="004575F0" w:rsidRPr="0039648E">
        <w:rPr>
          <w:szCs w:val="20"/>
        </w:rPr>
        <w:t>We use a cohort-focused sampling strategy (sampling pregnant women and infants at baseline)</w:t>
      </w:r>
      <w:r w:rsidR="00947995">
        <w:rPr>
          <w:szCs w:val="20"/>
        </w:rPr>
        <w:t xml:space="preserve"> in conjunction with </w:t>
      </w:r>
      <w:r w:rsidR="004575F0" w:rsidRPr="0039648E">
        <w:rPr>
          <w:szCs w:val="20"/>
        </w:rPr>
        <w:t xml:space="preserve">carefully timed surveys </w:t>
      </w:r>
      <w:r w:rsidR="00947995">
        <w:rPr>
          <w:szCs w:val="20"/>
        </w:rPr>
        <w:t xml:space="preserve">(a midline survey 12 months post-baseline and endline 36 months post-baseline) </w:t>
      </w:r>
      <w:r w:rsidR="004575F0" w:rsidRPr="0039648E">
        <w:rPr>
          <w:szCs w:val="20"/>
        </w:rPr>
        <w:t>to capture the complex age dynamics of child feeding and linear growth faltering</w:t>
      </w:r>
      <w:r w:rsidR="0060500A" w:rsidRPr="0039648E">
        <w:rPr>
          <w:szCs w:val="20"/>
        </w:rPr>
        <w:t xml:space="preserve">. </w:t>
      </w:r>
      <w:r w:rsidR="006A3DD3" w:rsidRPr="0039648E">
        <w:rPr>
          <w:szCs w:val="20"/>
        </w:rPr>
        <w:t xml:space="preserve">Primary outcome variables </w:t>
      </w:r>
      <w:r w:rsidR="00A74E35" w:rsidRPr="0039648E">
        <w:rPr>
          <w:szCs w:val="20"/>
        </w:rPr>
        <w:t>include</w:t>
      </w:r>
      <w:r w:rsidR="006A3DD3" w:rsidRPr="0039648E">
        <w:rPr>
          <w:szCs w:val="20"/>
        </w:rPr>
        <w:t xml:space="preserve"> </w:t>
      </w:r>
      <w:r w:rsidR="00015062">
        <w:rPr>
          <w:szCs w:val="20"/>
        </w:rPr>
        <w:t>caregiver</w:t>
      </w:r>
      <w:r w:rsidR="00A12FAB">
        <w:rPr>
          <w:szCs w:val="20"/>
        </w:rPr>
        <w:t xml:space="preserve"> </w:t>
      </w:r>
      <w:r w:rsidR="006A3DD3" w:rsidRPr="0039648E">
        <w:rPr>
          <w:szCs w:val="20"/>
        </w:rPr>
        <w:t xml:space="preserve">nutrition knowledge, child’s dietary diversity and height-for-age. Secondary outcomes </w:t>
      </w:r>
      <w:r w:rsidR="004575F0" w:rsidRPr="0039648E">
        <w:rPr>
          <w:szCs w:val="20"/>
        </w:rPr>
        <w:t>include other</w:t>
      </w:r>
      <w:r w:rsidRPr="0039648E">
        <w:rPr>
          <w:szCs w:val="20"/>
        </w:rPr>
        <w:t xml:space="preserve"> </w:t>
      </w:r>
      <w:r w:rsidR="006A3DD3" w:rsidRPr="0039648E">
        <w:rPr>
          <w:szCs w:val="20"/>
        </w:rPr>
        <w:t xml:space="preserve">child feeding and anthropometric indicators </w:t>
      </w:r>
      <w:r w:rsidR="00A12FAB">
        <w:rPr>
          <w:szCs w:val="20"/>
        </w:rPr>
        <w:t>and</w:t>
      </w:r>
      <w:r w:rsidR="006A3DD3" w:rsidRPr="0039648E">
        <w:rPr>
          <w:szCs w:val="20"/>
        </w:rPr>
        <w:t xml:space="preserve"> household livelihood outcomes. </w:t>
      </w:r>
    </w:p>
    <w:p w14:paraId="0FCC1C67" w14:textId="77777777" w:rsidR="00B411E4" w:rsidRDefault="00B411E4" w:rsidP="00334DF2"/>
    <w:p w14:paraId="7D8FDEA5" w14:textId="098EDFE0" w:rsidR="00334DF2" w:rsidRPr="00BB49B7" w:rsidRDefault="00334DF2" w:rsidP="006A3DD3">
      <w:r w:rsidRPr="00BB49B7">
        <w:rPr>
          <w:b/>
        </w:rPr>
        <w:t>Keywords:</w:t>
      </w:r>
      <w:r w:rsidRPr="00BB49B7">
        <w:t xml:space="preserve"> </w:t>
      </w:r>
      <w:r w:rsidR="006A3DD3" w:rsidRPr="00BB49B7">
        <w:t xml:space="preserve">Ultra-poor, </w:t>
      </w:r>
      <w:r w:rsidR="00947995">
        <w:t xml:space="preserve">graduation model, </w:t>
      </w:r>
      <w:r w:rsidR="006A3DD3" w:rsidRPr="00BB49B7">
        <w:t>nutrition, maternal grants, child stunting.</w:t>
      </w:r>
    </w:p>
    <w:p w14:paraId="135D4E3D" w14:textId="4AD01D3E" w:rsidR="00334DF2" w:rsidRDefault="00334DF2" w:rsidP="00334DF2">
      <w:r w:rsidRPr="00334DF2">
        <w:rPr>
          <w:b/>
        </w:rPr>
        <w:t>JEL codes:</w:t>
      </w:r>
      <w:r>
        <w:t xml:space="preserve"> </w:t>
      </w:r>
      <w:r w:rsidR="00BB49B7" w:rsidRPr="00BB49B7">
        <w:t>I15</w:t>
      </w:r>
      <w:r w:rsidR="00BB49B7">
        <w:t xml:space="preserve">, </w:t>
      </w:r>
      <w:r w:rsidR="00BB49B7" w:rsidRPr="00BB49B7">
        <w:t>I32</w:t>
      </w:r>
      <w:r w:rsidR="00BB49B7">
        <w:t xml:space="preserve">, </w:t>
      </w:r>
      <w:r w:rsidR="00BB49B7" w:rsidRPr="00BB49B7">
        <w:t>I38</w:t>
      </w:r>
      <w:r w:rsidR="001509A7">
        <w:t>.</w:t>
      </w:r>
    </w:p>
    <w:p w14:paraId="7D8F3C05" w14:textId="3041F0A3" w:rsidR="00334DF2" w:rsidRPr="00BB49B7" w:rsidRDefault="00334DF2" w:rsidP="00334DF2">
      <w:r w:rsidRPr="00BB49B7">
        <w:rPr>
          <w:b/>
        </w:rPr>
        <w:t>Study pre-registration:</w:t>
      </w:r>
      <w:r w:rsidRPr="00BB49B7">
        <w:t xml:space="preserve"> </w:t>
      </w:r>
      <w:r w:rsidR="006A3DD3" w:rsidRPr="00BB49B7">
        <w:t>https://www.socialscienceregistry.org/trials/9923</w:t>
      </w:r>
      <w:r w:rsidR="001509A7">
        <w:t>.</w:t>
      </w:r>
    </w:p>
    <w:p w14:paraId="7AFE7F0E" w14:textId="2F3A1BE6" w:rsidR="00334DF2" w:rsidRDefault="00334DF2" w:rsidP="001509A7">
      <w:pPr>
        <w:pStyle w:val="Heading1"/>
        <w:numPr>
          <w:ilvl w:val="0"/>
          <w:numId w:val="0"/>
        </w:numPr>
        <w:ind w:left="720" w:hanging="720"/>
      </w:pPr>
      <w:bookmarkStart w:id="4" w:name="_tyjcwt" w:colFirst="0" w:colLast="0"/>
      <w:bookmarkStart w:id="5" w:name="_Toc519758671"/>
      <w:bookmarkStart w:id="6" w:name="_Toc22739144"/>
      <w:bookmarkStart w:id="7" w:name="_Toc22739607"/>
      <w:bookmarkStart w:id="8" w:name="_Toc126582973"/>
      <w:bookmarkEnd w:id="4"/>
      <w:r w:rsidRPr="00334DF2">
        <w:lastRenderedPageBreak/>
        <w:t>Proposed timeline</w:t>
      </w:r>
      <w:bookmarkEnd w:id="5"/>
      <w:bookmarkEnd w:id="6"/>
      <w:bookmarkEnd w:id="7"/>
      <w:bookmarkEnd w:id="8"/>
    </w:p>
    <w:p w14:paraId="105D2404" w14:textId="6B3AC3A3" w:rsidR="00334DF2" w:rsidRDefault="00BB49B7" w:rsidP="00BB49B7">
      <w:pPr>
        <w:rPr>
          <w:rFonts w:eastAsia="Arial"/>
        </w:rPr>
      </w:pPr>
      <w:r w:rsidRPr="00BB49B7">
        <w:rPr>
          <w:rFonts w:eastAsia="Arial"/>
        </w:rPr>
        <w:t xml:space="preserve">The study </w:t>
      </w:r>
      <w:r w:rsidR="004575F0">
        <w:rPr>
          <w:rFonts w:eastAsia="Arial"/>
        </w:rPr>
        <w:t>was launched</w:t>
      </w:r>
      <w:r w:rsidRPr="00BB49B7">
        <w:rPr>
          <w:rFonts w:eastAsia="Arial"/>
        </w:rPr>
        <w:t xml:space="preserve"> in 2022. </w:t>
      </w:r>
      <w:r w:rsidR="003F58F1">
        <w:rPr>
          <w:rFonts w:eastAsia="Arial"/>
        </w:rPr>
        <w:t>The s</w:t>
      </w:r>
      <w:r w:rsidR="003435CD">
        <w:rPr>
          <w:rFonts w:eastAsia="Arial"/>
        </w:rPr>
        <w:t>tudy clusters</w:t>
      </w:r>
      <w:r w:rsidR="003435CD" w:rsidRPr="00BB49B7">
        <w:rPr>
          <w:rFonts w:eastAsia="Arial"/>
        </w:rPr>
        <w:t xml:space="preserve"> </w:t>
      </w:r>
      <w:r w:rsidRPr="00BB49B7">
        <w:rPr>
          <w:rFonts w:eastAsia="Arial"/>
        </w:rPr>
        <w:t xml:space="preserve">were randomized by the research team into three study arms in June 2022. The baseline survey took place between August and September in 2022. The program implementation began in November 2022. The midline survey is scheduled for August-September 2023 and the endline survey for August-September 2025. We plan to complete the research paper within 8 months </w:t>
      </w:r>
      <w:r w:rsidR="004575F0">
        <w:rPr>
          <w:rFonts w:eastAsia="Arial"/>
        </w:rPr>
        <w:t>of</w:t>
      </w:r>
      <w:r w:rsidRPr="00BB49B7">
        <w:rPr>
          <w:rFonts w:eastAsia="Arial"/>
        </w:rPr>
        <w:t xml:space="preserve"> the completion of the endline survey.</w:t>
      </w:r>
    </w:p>
    <w:p w14:paraId="27AF535F" w14:textId="77777777" w:rsidR="0039648E" w:rsidRPr="00BB49B7" w:rsidRDefault="0039648E" w:rsidP="00BB49B7"/>
    <w:p w14:paraId="44C2F564" w14:textId="107A215D" w:rsidR="00334DF2" w:rsidRDefault="00334DF2" w:rsidP="001C388C">
      <w:pPr>
        <w:pStyle w:val="Heading1"/>
        <w:numPr>
          <w:ilvl w:val="0"/>
          <w:numId w:val="0"/>
        </w:numPr>
        <w:ind w:left="720" w:hanging="720"/>
        <w:rPr>
          <w:i/>
        </w:rPr>
      </w:pPr>
      <w:bookmarkStart w:id="9" w:name="_3dy6vkm" w:colFirst="0" w:colLast="0"/>
      <w:bookmarkStart w:id="10" w:name="_4d34og8" w:colFirst="0" w:colLast="0"/>
      <w:bookmarkStart w:id="11" w:name="_Toc519758673"/>
      <w:bookmarkStart w:id="12" w:name="_Toc126582974"/>
      <w:bookmarkEnd w:id="9"/>
      <w:bookmarkEnd w:id="10"/>
      <w:r w:rsidRPr="00334DF2">
        <w:t>Reporting checklist for Stage 1 submissions</w:t>
      </w:r>
      <w:bookmarkEnd w:id="11"/>
      <w:bookmarkEnd w:id="12"/>
    </w:p>
    <w:tbl>
      <w:tblPr>
        <w:tblW w:w="9914" w:type="dxa"/>
        <w:tblLook w:val="04A0" w:firstRow="1" w:lastRow="0" w:firstColumn="1" w:lastColumn="0" w:noHBand="0" w:noVBand="1"/>
      </w:tblPr>
      <w:tblGrid>
        <w:gridCol w:w="1467"/>
        <w:gridCol w:w="1916"/>
        <w:gridCol w:w="4548"/>
        <w:gridCol w:w="1116"/>
        <w:gridCol w:w="867"/>
      </w:tblGrid>
      <w:tr w:rsidR="001C388C" w:rsidRPr="001C388C" w14:paraId="781BD290" w14:textId="77777777" w:rsidTr="001C388C">
        <w:trPr>
          <w:trHeight w:val="270"/>
          <w:tblHeader/>
        </w:trPr>
        <w:tc>
          <w:tcPr>
            <w:tcW w:w="1429" w:type="dxa"/>
            <w:tcBorders>
              <w:top w:val="single" w:sz="8" w:space="0" w:color="000000"/>
              <w:left w:val="single" w:sz="8" w:space="0" w:color="000000"/>
              <w:bottom w:val="nil"/>
              <w:right w:val="single" w:sz="4" w:space="0" w:color="000000"/>
            </w:tcBorders>
            <w:shd w:val="clear" w:color="E7E6E6" w:fill="E7E6E6"/>
            <w:vAlign w:val="center"/>
            <w:hideMark/>
          </w:tcPr>
          <w:p w14:paraId="5CD28E80"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Section</w:t>
            </w:r>
          </w:p>
        </w:tc>
        <w:tc>
          <w:tcPr>
            <w:tcW w:w="1921" w:type="dxa"/>
            <w:tcBorders>
              <w:top w:val="single" w:sz="8" w:space="0" w:color="000000"/>
              <w:left w:val="nil"/>
              <w:bottom w:val="nil"/>
              <w:right w:val="single" w:sz="4" w:space="0" w:color="000000"/>
            </w:tcBorders>
            <w:shd w:val="clear" w:color="E7E6E6" w:fill="E7E6E6"/>
            <w:vAlign w:val="center"/>
            <w:hideMark/>
          </w:tcPr>
          <w:p w14:paraId="14B1A815" w14:textId="77777777" w:rsidR="001C388C" w:rsidRPr="001C388C" w:rsidRDefault="001C388C" w:rsidP="001C388C">
            <w:pPr>
              <w:spacing w:before="0" w:after="0" w:line="240" w:lineRule="auto"/>
              <w:jc w:val="left"/>
              <w:rPr>
                <w:rFonts w:eastAsia="Times New Roman" w:cs="Arial"/>
                <w:b/>
                <w:bCs/>
                <w:color w:val="000000"/>
                <w:sz w:val="18"/>
                <w:szCs w:val="18"/>
              </w:rPr>
            </w:pPr>
            <w:r w:rsidRPr="001C388C">
              <w:rPr>
                <w:rFonts w:eastAsia="Times New Roman" w:cs="Arial"/>
                <w:b/>
                <w:bCs/>
                <w:color w:val="000000"/>
                <w:sz w:val="18"/>
                <w:szCs w:val="18"/>
              </w:rPr>
              <w:t>Item</w:t>
            </w:r>
          </w:p>
        </w:tc>
        <w:tc>
          <w:tcPr>
            <w:tcW w:w="4602" w:type="dxa"/>
            <w:tcBorders>
              <w:top w:val="single" w:sz="8" w:space="0" w:color="000000"/>
              <w:left w:val="nil"/>
              <w:bottom w:val="nil"/>
              <w:right w:val="single" w:sz="4" w:space="0" w:color="000000"/>
            </w:tcBorders>
            <w:shd w:val="clear" w:color="E7E6E6" w:fill="E7E6E6"/>
            <w:vAlign w:val="center"/>
            <w:hideMark/>
          </w:tcPr>
          <w:p w14:paraId="7E89F076" w14:textId="77777777" w:rsidR="001C388C" w:rsidRPr="001C388C" w:rsidRDefault="001C388C" w:rsidP="001C388C">
            <w:pPr>
              <w:spacing w:before="0" w:after="0" w:line="240" w:lineRule="auto"/>
              <w:jc w:val="left"/>
              <w:rPr>
                <w:rFonts w:eastAsia="Times New Roman" w:cs="Arial"/>
                <w:b/>
                <w:bCs/>
                <w:color w:val="000000"/>
                <w:sz w:val="18"/>
                <w:szCs w:val="18"/>
              </w:rPr>
            </w:pPr>
            <w:r w:rsidRPr="001C388C">
              <w:rPr>
                <w:rFonts w:eastAsia="Times New Roman" w:cs="Arial"/>
                <w:b/>
                <w:bCs/>
                <w:color w:val="000000"/>
                <w:sz w:val="18"/>
                <w:szCs w:val="18"/>
              </w:rPr>
              <w:t>Description and details to report</w:t>
            </w:r>
          </w:p>
        </w:tc>
        <w:tc>
          <w:tcPr>
            <w:tcW w:w="1107" w:type="dxa"/>
            <w:tcBorders>
              <w:top w:val="single" w:sz="8" w:space="0" w:color="000000"/>
              <w:left w:val="nil"/>
              <w:bottom w:val="nil"/>
              <w:right w:val="nil"/>
            </w:tcBorders>
            <w:shd w:val="clear" w:color="E7E6E6" w:fill="E7E6E6"/>
            <w:vAlign w:val="center"/>
            <w:hideMark/>
          </w:tcPr>
          <w:p w14:paraId="0CDADFF9"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Reported?</w:t>
            </w:r>
          </w:p>
        </w:tc>
        <w:tc>
          <w:tcPr>
            <w:tcW w:w="855" w:type="dxa"/>
            <w:tcBorders>
              <w:top w:val="single" w:sz="8" w:space="0" w:color="000000"/>
              <w:left w:val="single" w:sz="4" w:space="0" w:color="000000"/>
              <w:bottom w:val="nil"/>
              <w:right w:val="single" w:sz="8" w:space="0" w:color="000000"/>
            </w:tcBorders>
            <w:shd w:val="clear" w:color="E7E6E6" w:fill="E7E6E6"/>
            <w:vAlign w:val="center"/>
            <w:hideMark/>
          </w:tcPr>
          <w:p w14:paraId="43CF05BC"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Page(s)</w:t>
            </w:r>
          </w:p>
        </w:tc>
      </w:tr>
      <w:tr w:rsidR="001C388C" w:rsidRPr="001C388C" w14:paraId="613588C2" w14:textId="77777777" w:rsidTr="001C388C">
        <w:trPr>
          <w:trHeight w:val="225"/>
        </w:trPr>
        <w:tc>
          <w:tcPr>
            <w:tcW w:w="142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5E69D346"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 xml:space="preserve">Cover page </w:t>
            </w:r>
            <w:r w:rsidRPr="001C388C">
              <w:rPr>
                <w:rFonts w:eastAsia="Times New Roman" w:cs="Arial"/>
                <w:b/>
                <w:bCs/>
                <w:i/>
                <w:iCs/>
                <w:color w:val="000000"/>
                <w:sz w:val="18"/>
                <w:szCs w:val="18"/>
              </w:rPr>
              <w:t>(required)</w:t>
            </w:r>
          </w:p>
        </w:tc>
        <w:tc>
          <w:tcPr>
            <w:tcW w:w="1921" w:type="dxa"/>
            <w:tcBorders>
              <w:top w:val="single" w:sz="4" w:space="0" w:color="000000"/>
              <w:left w:val="nil"/>
              <w:bottom w:val="single" w:sz="4" w:space="0" w:color="000000"/>
              <w:right w:val="single" w:sz="4" w:space="0" w:color="000000"/>
            </w:tcBorders>
            <w:shd w:val="clear" w:color="auto" w:fill="auto"/>
            <w:vAlign w:val="center"/>
            <w:hideMark/>
          </w:tcPr>
          <w:p w14:paraId="1CDB131A"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Title</w:t>
            </w:r>
          </w:p>
        </w:tc>
        <w:tc>
          <w:tcPr>
            <w:tcW w:w="4602" w:type="dxa"/>
            <w:tcBorders>
              <w:top w:val="single" w:sz="4" w:space="0" w:color="000000"/>
              <w:left w:val="nil"/>
              <w:bottom w:val="single" w:sz="4" w:space="0" w:color="000000"/>
              <w:right w:val="single" w:sz="4" w:space="0" w:color="000000"/>
            </w:tcBorders>
            <w:shd w:val="clear" w:color="auto" w:fill="auto"/>
            <w:vAlign w:val="center"/>
            <w:hideMark/>
          </w:tcPr>
          <w:p w14:paraId="1B788ACA"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Informative title specifying the study design, population, and interventions</w:t>
            </w:r>
          </w:p>
        </w:tc>
        <w:tc>
          <w:tcPr>
            <w:tcW w:w="1107" w:type="dxa"/>
            <w:tcBorders>
              <w:top w:val="single" w:sz="4" w:space="0" w:color="000000"/>
              <w:left w:val="nil"/>
              <w:bottom w:val="single" w:sz="4" w:space="0" w:color="000000"/>
              <w:right w:val="nil"/>
            </w:tcBorders>
            <w:shd w:val="clear" w:color="auto" w:fill="auto"/>
            <w:vAlign w:val="center"/>
            <w:hideMark/>
          </w:tcPr>
          <w:p w14:paraId="7A711FA7"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60D83351" w14:textId="4F3A56E7" w:rsidR="001C388C" w:rsidRPr="001C388C" w:rsidRDefault="0050437F"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w:t>
            </w:r>
          </w:p>
        </w:tc>
      </w:tr>
      <w:tr w:rsidR="001C388C" w:rsidRPr="001C388C" w14:paraId="65B53C27" w14:textId="77777777" w:rsidTr="001C388C">
        <w:trPr>
          <w:trHeight w:val="225"/>
        </w:trPr>
        <w:tc>
          <w:tcPr>
            <w:tcW w:w="1429" w:type="dxa"/>
            <w:vMerge/>
            <w:tcBorders>
              <w:top w:val="single" w:sz="4" w:space="0" w:color="000000"/>
              <w:left w:val="single" w:sz="8" w:space="0" w:color="000000"/>
              <w:bottom w:val="single" w:sz="4" w:space="0" w:color="000000"/>
              <w:right w:val="single" w:sz="4" w:space="0" w:color="000000"/>
            </w:tcBorders>
            <w:vAlign w:val="center"/>
            <w:hideMark/>
          </w:tcPr>
          <w:p w14:paraId="5DCC6E9D"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06BC6BB5"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Date of latest draft</w:t>
            </w:r>
          </w:p>
        </w:tc>
        <w:tc>
          <w:tcPr>
            <w:tcW w:w="4602" w:type="dxa"/>
            <w:tcBorders>
              <w:top w:val="nil"/>
              <w:left w:val="nil"/>
              <w:bottom w:val="single" w:sz="4" w:space="0" w:color="000000"/>
              <w:right w:val="single" w:sz="4" w:space="0" w:color="000000"/>
            </w:tcBorders>
            <w:shd w:val="clear" w:color="auto" w:fill="auto"/>
            <w:vAlign w:val="center"/>
            <w:hideMark/>
          </w:tcPr>
          <w:p w14:paraId="057CBD19"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Date of when the prospective review article was last edited.</w:t>
            </w:r>
          </w:p>
        </w:tc>
        <w:tc>
          <w:tcPr>
            <w:tcW w:w="1107" w:type="dxa"/>
            <w:tcBorders>
              <w:top w:val="nil"/>
              <w:left w:val="nil"/>
              <w:bottom w:val="single" w:sz="4" w:space="0" w:color="000000"/>
              <w:right w:val="nil"/>
            </w:tcBorders>
            <w:shd w:val="clear" w:color="auto" w:fill="auto"/>
            <w:vAlign w:val="center"/>
            <w:hideMark/>
          </w:tcPr>
          <w:p w14:paraId="1D6F205B"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4B390658" w14:textId="0C24CA12" w:rsidR="001C388C" w:rsidRPr="001C388C" w:rsidRDefault="0050437F"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w:t>
            </w:r>
          </w:p>
        </w:tc>
      </w:tr>
      <w:tr w:rsidR="001C388C" w:rsidRPr="001C388C" w14:paraId="3068849F" w14:textId="77777777" w:rsidTr="001C388C">
        <w:trPr>
          <w:trHeight w:val="225"/>
        </w:trPr>
        <w:tc>
          <w:tcPr>
            <w:tcW w:w="1429" w:type="dxa"/>
            <w:vMerge/>
            <w:tcBorders>
              <w:top w:val="single" w:sz="4" w:space="0" w:color="000000"/>
              <w:left w:val="single" w:sz="8" w:space="0" w:color="000000"/>
              <w:bottom w:val="single" w:sz="4" w:space="0" w:color="000000"/>
              <w:right w:val="single" w:sz="4" w:space="0" w:color="000000"/>
            </w:tcBorders>
            <w:vAlign w:val="center"/>
            <w:hideMark/>
          </w:tcPr>
          <w:p w14:paraId="74D18A5E"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25B62F10"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Study pre-registration status</w:t>
            </w:r>
          </w:p>
        </w:tc>
        <w:tc>
          <w:tcPr>
            <w:tcW w:w="4602" w:type="dxa"/>
            <w:tcBorders>
              <w:top w:val="nil"/>
              <w:left w:val="nil"/>
              <w:bottom w:val="single" w:sz="4" w:space="0" w:color="000000"/>
              <w:right w:val="single" w:sz="4" w:space="0" w:color="000000"/>
            </w:tcBorders>
            <w:shd w:val="clear" w:color="auto" w:fill="auto"/>
            <w:vAlign w:val="center"/>
            <w:hideMark/>
          </w:tcPr>
          <w:p w14:paraId="5938367A"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Link, registration identifier and registry name (or intended registry if not yet registered)</w:t>
            </w:r>
          </w:p>
        </w:tc>
        <w:tc>
          <w:tcPr>
            <w:tcW w:w="1107" w:type="dxa"/>
            <w:tcBorders>
              <w:top w:val="nil"/>
              <w:left w:val="nil"/>
              <w:bottom w:val="single" w:sz="4" w:space="0" w:color="000000"/>
              <w:right w:val="nil"/>
            </w:tcBorders>
            <w:shd w:val="clear" w:color="auto" w:fill="auto"/>
            <w:vAlign w:val="center"/>
            <w:hideMark/>
          </w:tcPr>
          <w:p w14:paraId="5C8ED2F7" w14:textId="77777777" w:rsidR="001C388C" w:rsidRPr="001509A7" w:rsidRDefault="001C388C" w:rsidP="001C388C">
            <w:pPr>
              <w:spacing w:before="0" w:after="0" w:line="240" w:lineRule="auto"/>
              <w:jc w:val="center"/>
              <w:rPr>
                <w:rFonts w:eastAsia="Times New Roman" w:cs="Arial"/>
                <w:color w:val="000000"/>
                <w:sz w:val="18"/>
                <w:szCs w:val="18"/>
              </w:rPr>
            </w:pPr>
            <w:r w:rsidRPr="001509A7">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6E40361A" w14:textId="7A68B91A" w:rsidR="001C388C" w:rsidRPr="007133B5" w:rsidRDefault="0050437F" w:rsidP="001C388C">
            <w:pPr>
              <w:spacing w:before="0" w:after="0" w:line="240" w:lineRule="auto"/>
              <w:jc w:val="center"/>
              <w:rPr>
                <w:rFonts w:eastAsia="Times New Roman" w:cs="Arial"/>
                <w:color w:val="000000"/>
                <w:sz w:val="18"/>
                <w:szCs w:val="18"/>
              </w:rPr>
            </w:pPr>
            <w:r w:rsidRPr="007133B5">
              <w:rPr>
                <w:rFonts w:eastAsia="Times New Roman" w:cs="Arial"/>
                <w:color w:val="000000"/>
                <w:sz w:val="18"/>
                <w:szCs w:val="18"/>
              </w:rPr>
              <w:t>1</w:t>
            </w:r>
          </w:p>
        </w:tc>
      </w:tr>
      <w:tr w:rsidR="001C388C" w:rsidRPr="001C388C" w14:paraId="3E4A8577" w14:textId="77777777" w:rsidTr="001C388C">
        <w:trPr>
          <w:trHeight w:val="225"/>
        </w:trPr>
        <w:tc>
          <w:tcPr>
            <w:tcW w:w="1429" w:type="dxa"/>
            <w:vMerge/>
            <w:tcBorders>
              <w:top w:val="single" w:sz="4" w:space="0" w:color="000000"/>
              <w:left w:val="single" w:sz="8" w:space="0" w:color="000000"/>
              <w:bottom w:val="single" w:sz="4" w:space="0" w:color="000000"/>
              <w:right w:val="single" w:sz="4" w:space="0" w:color="000000"/>
            </w:tcBorders>
            <w:vAlign w:val="center"/>
            <w:hideMark/>
          </w:tcPr>
          <w:p w14:paraId="34B4A74C"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1182D8CB"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Keywords</w:t>
            </w:r>
          </w:p>
        </w:tc>
        <w:tc>
          <w:tcPr>
            <w:tcW w:w="4602" w:type="dxa"/>
            <w:tcBorders>
              <w:top w:val="nil"/>
              <w:left w:val="nil"/>
              <w:bottom w:val="single" w:sz="4" w:space="0" w:color="000000"/>
              <w:right w:val="single" w:sz="4" w:space="0" w:color="000000"/>
            </w:tcBorders>
            <w:shd w:val="clear" w:color="auto" w:fill="auto"/>
            <w:vAlign w:val="center"/>
            <w:hideMark/>
          </w:tcPr>
          <w:p w14:paraId="63C3907A"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Up to six keywords, to be used for indexing purposes.</w:t>
            </w:r>
          </w:p>
        </w:tc>
        <w:tc>
          <w:tcPr>
            <w:tcW w:w="1107" w:type="dxa"/>
            <w:tcBorders>
              <w:top w:val="nil"/>
              <w:left w:val="nil"/>
              <w:bottom w:val="single" w:sz="4" w:space="0" w:color="000000"/>
              <w:right w:val="nil"/>
            </w:tcBorders>
            <w:shd w:val="clear" w:color="auto" w:fill="auto"/>
            <w:vAlign w:val="center"/>
            <w:hideMark/>
          </w:tcPr>
          <w:p w14:paraId="608A8304" w14:textId="77777777" w:rsidR="001C388C" w:rsidRPr="001509A7" w:rsidRDefault="001C388C" w:rsidP="001C388C">
            <w:pPr>
              <w:spacing w:before="0" w:after="0" w:line="240" w:lineRule="auto"/>
              <w:jc w:val="center"/>
              <w:rPr>
                <w:rFonts w:eastAsia="Times New Roman" w:cs="Arial"/>
                <w:color w:val="000000"/>
                <w:sz w:val="18"/>
                <w:szCs w:val="18"/>
              </w:rPr>
            </w:pPr>
            <w:r w:rsidRPr="001509A7">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CD12378" w14:textId="1E920CDD" w:rsidR="001C388C" w:rsidRPr="007133B5" w:rsidRDefault="0050437F" w:rsidP="001C388C">
            <w:pPr>
              <w:spacing w:before="0" w:after="0" w:line="240" w:lineRule="auto"/>
              <w:jc w:val="center"/>
              <w:rPr>
                <w:rFonts w:eastAsia="Times New Roman" w:cs="Arial"/>
                <w:color w:val="000000"/>
                <w:sz w:val="18"/>
                <w:szCs w:val="18"/>
              </w:rPr>
            </w:pPr>
            <w:r w:rsidRPr="007133B5">
              <w:rPr>
                <w:rFonts w:eastAsia="Times New Roman" w:cs="Arial"/>
                <w:color w:val="000000"/>
                <w:sz w:val="18"/>
                <w:szCs w:val="18"/>
              </w:rPr>
              <w:t>1</w:t>
            </w:r>
          </w:p>
        </w:tc>
      </w:tr>
      <w:tr w:rsidR="001C388C" w:rsidRPr="001C388C" w14:paraId="065620BA" w14:textId="77777777" w:rsidTr="001C388C">
        <w:trPr>
          <w:trHeight w:val="225"/>
        </w:trPr>
        <w:tc>
          <w:tcPr>
            <w:tcW w:w="1429" w:type="dxa"/>
            <w:vMerge/>
            <w:tcBorders>
              <w:top w:val="single" w:sz="4" w:space="0" w:color="000000"/>
              <w:left w:val="single" w:sz="8" w:space="0" w:color="000000"/>
              <w:bottom w:val="single" w:sz="4" w:space="0" w:color="000000"/>
              <w:right w:val="single" w:sz="4" w:space="0" w:color="000000"/>
            </w:tcBorders>
            <w:vAlign w:val="center"/>
            <w:hideMark/>
          </w:tcPr>
          <w:p w14:paraId="4BEEFC06"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2A474B32" w14:textId="77777777" w:rsidR="001C388C" w:rsidRPr="001C388C" w:rsidRDefault="00000000" w:rsidP="001C388C">
            <w:pPr>
              <w:spacing w:before="0" w:after="0" w:line="240" w:lineRule="auto"/>
              <w:jc w:val="left"/>
              <w:rPr>
                <w:rFonts w:eastAsia="Times New Roman" w:cs="Arial"/>
                <w:i/>
                <w:iCs/>
                <w:color w:val="0563C1"/>
                <w:sz w:val="18"/>
                <w:szCs w:val="18"/>
                <w:u w:val="single"/>
              </w:rPr>
            </w:pPr>
            <w:hyperlink r:id="rId8" w:history="1">
              <w:r w:rsidR="001C388C" w:rsidRPr="001C388C">
                <w:rPr>
                  <w:rFonts w:eastAsia="Times New Roman" w:cs="Arial"/>
                  <w:i/>
                  <w:iCs/>
                  <w:color w:val="0563C1"/>
                  <w:sz w:val="18"/>
                  <w:szCs w:val="18"/>
                  <w:u w:val="single"/>
                </w:rPr>
                <w:t>JEL codes</w:t>
              </w:r>
            </w:hyperlink>
          </w:p>
        </w:tc>
        <w:tc>
          <w:tcPr>
            <w:tcW w:w="4602" w:type="dxa"/>
            <w:tcBorders>
              <w:top w:val="nil"/>
              <w:left w:val="nil"/>
              <w:bottom w:val="single" w:sz="4" w:space="0" w:color="000000"/>
              <w:right w:val="single" w:sz="4" w:space="0" w:color="000000"/>
            </w:tcBorders>
            <w:shd w:val="clear" w:color="auto" w:fill="auto"/>
            <w:vAlign w:val="center"/>
            <w:hideMark/>
          </w:tcPr>
          <w:p w14:paraId="0C1C8EEA"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Up to six codes.</w:t>
            </w:r>
          </w:p>
        </w:tc>
        <w:tc>
          <w:tcPr>
            <w:tcW w:w="1107" w:type="dxa"/>
            <w:tcBorders>
              <w:top w:val="nil"/>
              <w:left w:val="nil"/>
              <w:bottom w:val="single" w:sz="4" w:space="0" w:color="000000"/>
              <w:right w:val="nil"/>
            </w:tcBorders>
            <w:shd w:val="clear" w:color="auto" w:fill="auto"/>
            <w:vAlign w:val="center"/>
            <w:hideMark/>
          </w:tcPr>
          <w:p w14:paraId="3EA36101" w14:textId="77777777" w:rsidR="001C388C" w:rsidRPr="001509A7" w:rsidRDefault="001C388C" w:rsidP="001C388C">
            <w:pPr>
              <w:spacing w:before="0" w:after="0" w:line="240" w:lineRule="auto"/>
              <w:jc w:val="center"/>
              <w:rPr>
                <w:rFonts w:eastAsia="Times New Roman" w:cs="Arial"/>
                <w:color w:val="000000"/>
                <w:sz w:val="18"/>
                <w:szCs w:val="18"/>
              </w:rPr>
            </w:pPr>
            <w:r w:rsidRPr="001509A7">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1CCD2D78" w14:textId="64043BD8" w:rsidR="001C388C" w:rsidRPr="007133B5" w:rsidRDefault="0050437F" w:rsidP="001C388C">
            <w:pPr>
              <w:spacing w:before="0" w:after="0" w:line="240" w:lineRule="auto"/>
              <w:jc w:val="center"/>
              <w:rPr>
                <w:rFonts w:eastAsia="Times New Roman" w:cs="Arial"/>
                <w:color w:val="000000"/>
                <w:sz w:val="18"/>
                <w:szCs w:val="18"/>
              </w:rPr>
            </w:pPr>
            <w:r w:rsidRPr="007133B5">
              <w:rPr>
                <w:rFonts w:eastAsia="Times New Roman" w:cs="Arial"/>
                <w:color w:val="000000"/>
                <w:sz w:val="18"/>
                <w:szCs w:val="18"/>
              </w:rPr>
              <w:t>1</w:t>
            </w:r>
          </w:p>
        </w:tc>
      </w:tr>
      <w:tr w:rsidR="001C388C" w:rsidRPr="001C388C" w14:paraId="5613CEB6" w14:textId="77777777" w:rsidTr="001C388C">
        <w:trPr>
          <w:trHeight w:val="466"/>
        </w:trPr>
        <w:tc>
          <w:tcPr>
            <w:tcW w:w="1429" w:type="dxa"/>
            <w:tcBorders>
              <w:top w:val="nil"/>
              <w:left w:val="single" w:sz="8" w:space="0" w:color="000000"/>
              <w:bottom w:val="single" w:sz="4" w:space="0" w:color="000000"/>
              <w:right w:val="single" w:sz="4" w:space="0" w:color="000000"/>
            </w:tcBorders>
            <w:shd w:val="clear" w:color="auto" w:fill="auto"/>
            <w:vAlign w:val="center"/>
            <w:hideMark/>
          </w:tcPr>
          <w:p w14:paraId="313221AA"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Abstract (</w:t>
            </w:r>
            <w:r w:rsidRPr="001C388C">
              <w:rPr>
                <w:rFonts w:eastAsia="Times New Roman" w:cs="Arial"/>
                <w:b/>
                <w:bCs/>
                <w:i/>
                <w:iCs/>
                <w:color w:val="000000"/>
                <w:sz w:val="18"/>
                <w:szCs w:val="18"/>
              </w:rPr>
              <w:t>required)</w:t>
            </w:r>
          </w:p>
        </w:tc>
        <w:tc>
          <w:tcPr>
            <w:tcW w:w="1921" w:type="dxa"/>
            <w:tcBorders>
              <w:top w:val="nil"/>
              <w:left w:val="nil"/>
              <w:bottom w:val="single" w:sz="4" w:space="0" w:color="000000"/>
              <w:right w:val="single" w:sz="4" w:space="0" w:color="000000"/>
            </w:tcBorders>
            <w:shd w:val="clear" w:color="auto" w:fill="auto"/>
            <w:vAlign w:val="center"/>
            <w:hideMark/>
          </w:tcPr>
          <w:p w14:paraId="6B424308"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Abstract</w:t>
            </w:r>
          </w:p>
        </w:tc>
        <w:tc>
          <w:tcPr>
            <w:tcW w:w="4602" w:type="dxa"/>
            <w:tcBorders>
              <w:top w:val="nil"/>
              <w:left w:val="nil"/>
              <w:bottom w:val="single" w:sz="4" w:space="0" w:color="000000"/>
              <w:right w:val="single" w:sz="4" w:space="0" w:color="000000"/>
            </w:tcBorders>
            <w:shd w:val="clear" w:color="auto" w:fill="auto"/>
            <w:vAlign w:val="center"/>
            <w:hideMark/>
          </w:tcPr>
          <w:p w14:paraId="681286A9"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 xml:space="preserve">Summarize research question, outcome variables, methodological </w:t>
            </w:r>
            <w:proofErr w:type="gramStart"/>
            <w:r w:rsidRPr="001C388C">
              <w:rPr>
                <w:rFonts w:eastAsia="Times New Roman" w:cs="Arial"/>
                <w:color w:val="000000"/>
                <w:sz w:val="18"/>
                <w:szCs w:val="18"/>
              </w:rPr>
              <w:t>framework</w:t>
            </w:r>
            <w:proofErr w:type="gramEnd"/>
            <w:r w:rsidRPr="001C388C">
              <w:rPr>
                <w:rFonts w:eastAsia="Times New Roman" w:cs="Arial"/>
                <w:color w:val="000000"/>
                <w:sz w:val="18"/>
                <w:szCs w:val="18"/>
              </w:rPr>
              <w:t xml:space="preserve"> and contribution in less than 150 words.</w:t>
            </w:r>
          </w:p>
        </w:tc>
        <w:tc>
          <w:tcPr>
            <w:tcW w:w="1107" w:type="dxa"/>
            <w:tcBorders>
              <w:top w:val="nil"/>
              <w:left w:val="nil"/>
              <w:bottom w:val="single" w:sz="4" w:space="0" w:color="000000"/>
              <w:right w:val="nil"/>
            </w:tcBorders>
            <w:shd w:val="clear" w:color="auto" w:fill="auto"/>
            <w:vAlign w:val="center"/>
            <w:hideMark/>
          </w:tcPr>
          <w:p w14:paraId="29C4EBDF"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029981C3" w14:textId="1178CB34" w:rsidR="001C388C" w:rsidRPr="001C388C" w:rsidRDefault="0050437F"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w:t>
            </w:r>
          </w:p>
        </w:tc>
      </w:tr>
      <w:tr w:rsidR="001C388C" w:rsidRPr="001C388C" w14:paraId="5B20D28F" w14:textId="77777777" w:rsidTr="001C388C">
        <w:trPr>
          <w:trHeight w:val="536"/>
        </w:trPr>
        <w:tc>
          <w:tcPr>
            <w:tcW w:w="1429" w:type="dxa"/>
            <w:tcBorders>
              <w:top w:val="nil"/>
              <w:left w:val="single" w:sz="8" w:space="0" w:color="000000"/>
              <w:bottom w:val="single" w:sz="4" w:space="0" w:color="000000"/>
              <w:right w:val="single" w:sz="4" w:space="0" w:color="000000"/>
            </w:tcBorders>
            <w:shd w:val="clear" w:color="auto" w:fill="auto"/>
            <w:vAlign w:val="center"/>
            <w:hideMark/>
          </w:tcPr>
          <w:p w14:paraId="50EDF0CA"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 xml:space="preserve">Timeline </w:t>
            </w:r>
            <w:r w:rsidRPr="001C388C">
              <w:rPr>
                <w:rFonts w:eastAsia="Times New Roman" w:cs="Arial"/>
                <w:b/>
                <w:bCs/>
                <w:i/>
                <w:iCs/>
                <w:color w:val="000000"/>
                <w:sz w:val="18"/>
                <w:szCs w:val="18"/>
              </w:rPr>
              <w:t>(required)</w:t>
            </w:r>
          </w:p>
        </w:tc>
        <w:tc>
          <w:tcPr>
            <w:tcW w:w="1921" w:type="dxa"/>
            <w:tcBorders>
              <w:top w:val="nil"/>
              <w:left w:val="nil"/>
              <w:bottom w:val="single" w:sz="4" w:space="0" w:color="000000"/>
              <w:right w:val="single" w:sz="4" w:space="0" w:color="000000"/>
            </w:tcBorders>
            <w:shd w:val="clear" w:color="auto" w:fill="auto"/>
            <w:vAlign w:val="center"/>
            <w:hideMark/>
          </w:tcPr>
          <w:p w14:paraId="533B499A"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Expected completion date</w:t>
            </w:r>
          </w:p>
        </w:tc>
        <w:tc>
          <w:tcPr>
            <w:tcW w:w="4602" w:type="dxa"/>
            <w:tcBorders>
              <w:top w:val="nil"/>
              <w:left w:val="nil"/>
              <w:bottom w:val="single" w:sz="4" w:space="0" w:color="000000"/>
              <w:right w:val="single" w:sz="4" w:space="0" w:color="000000"/>
            </w:tcBorders>
            <w:shd w:val="clear" w:color="auto" w:fill="auto"/>
            <w:vAlign w:val="center"/>
            <w:hideMark/>
          </w:tcPr>
          <w:p w14:paraId="24837915"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Expected date for completion of the pre-specified research design.</w:t>
            </w:r>
          </w:p>
        </w:tc>
        <w:tc>
          <w:tcPr>
            <w:tcW w:w="1107" w:type="dxa"/>
            <w:tcBorders>
              <w:top w:val="nil"/>
              <w:left w:val="nil"/>
              <w:bottom w:val="single" w:sz="4" w:space="0" w:color="000000"/>
              <w:right w:val="nil"/>
            </w:tcBorders>
            <w:shd w:val="clear" w:color="auto" w:fill="auto"/>
            <w:vAlign w:val="center"/>
            <w:hideMark/>
          </w:tcPr>
          <w:p w14:paraId="62C8CFD4"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4CD9D081" w14:textId="77777777" w:rsidR="001C388C" w:rsidRPr="001C388C" w:rsidRDefault="001C388C" w:rsidP="001C388C">
            <w:pPr>
              <w:spacing w:before="0" w:after="0" w:line="240" w:lineRule="auto"/>
              <w:jc w:val="center"/>
              <w:rPr>
                <w:rFonts w:eastAsia="Times New Roman" w:cs="Arial"/>
                <w:color w:val="000000"/>
                <w:sz w:val="18"/>
                <w:szCs w:val="18"/>
              </w:rPr>
            </w:pPr>
            <w:r w:rsidRPr="001C388C">
              <w:rPr>
                <w:rFonts w:eastAsia="Times New Roman" w:cs="Arial"/>
                <w:color w:val="000000"/>
                <w:sz w:val="18"/>
                <w:szCs w:val="18"/>
              </w:rPr>
              <w:t>2</w:t>
            </w:r>
          </w:p>
        </w:tc>
      </w:tr>
      <w:tr w:rsidR="001C388C" w:rsidRPr="001C388C" w14:paraId="1C69490E" w14:textId="77777777" w:rsidTr="001C388C">
        <w:trPr>
          <w:trHeight w:val="480"/>
        </w:trPr>
        <w:tc>
          <w:tcPr>
            <w:tcW w:w="1429"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153A8ECB"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Introduction</w:t>
            </w:r>
          </w:p>
        </w:tc>
        <w:tc>
          <w:tcPr>
            <w:tcW w:w="1921" w:type="dxa"/>
            <w:tcBorders>
              <w:top w:val="single" w:sz="4" w:space="0" w:color="000000"/>
              <w:left w:val="nil"/>
              <w:bottom w:val="single" w:sz="4" w:space="0" w:color="000000"/>
              <w:right w:val="single" w:sz="4" w:space="0" w:color="000000"/>
            </w:tcBorders>
            <w:shd w:val="clear" w:color="auto" w:fill="auto"/>
            <w:vAlign w:val="center"/>
            <w:hideMark/>
          </w:tcPr>
          <w:p w14:paraId="0284C93B"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Background and relevance of the study</w:t>
            </w:r>
          </w:p>
        </w:tc>
        <w:tc>
          <w:tcPr>
            <w:tcW w:w="4602" w:type="dxa"/>
            <w:tcBorders>
              <w:top w:val="single" w:sz="4" w:space="0" w:color="000000"/>
              <w:left w:val="nil"/>
              <w:bottom w:val="single" w:sz="4" w:space="0" w:color="000000"/>
              <w:right w:val="single" w:sz="4" w:space="0" w:color="000000"/>
            </w:tcBorders>
            <w:shd w:val="clear" w:color="auto" w:fill="auto"/>
            <w:vAlign w:val="center"/>
            <w:hideMark/>
          </w:tcPr>
          <w:p w14:paraId="3B289AD9"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Brief overview of previous research, and relevance of the research question(s) for the field of economic development</w:t>
            </w:r>
          </w:p>
        </w:tc>
        <w:tc>
          <w:tcPr>
            <w:tcW w:w="1107" w:type="dxa"/>
            <w:tcBorders>
              <w:top w:val="single" w:sz="4" w:space="0" w:color="000000"/>
              <w:left w:val="nil"/>
              <w:bottom w:val="single" w:sz="4" w:space="0" w:color="000000"/>
              <w:right w:val="nil"/>
            </w:tcBorders>
            <w:shd w:val="clear" w:color="auto" w:fill="auto"/>
            <w:vAlign w:val="center"/>
            <w:hideMark/>
          </w:tcPr>
          <w:p w14:paraId="1FC95C70"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0AEC0ADC" w14:textId="77777777" w:rsidR="001C388C" w:rsidRPr="001C388C" w:rsidRDefault="001C388C" w:rsidP="001C388C">
            <w:pPr>
              <w:spacing w:before="0" w:after="0" w:line="240" w:lineRule="auto"/>
              <w:jc w:val="center"/>
              <w:rPr>
                <w:rFonts w:eastAsia="Times New Roman" w:cs="Arial"/>
                <w:color w:val="000000"/>
                <w:sz w:val="18"/>
                <w:szCs w:val="18"/>
              </w:rPr>
            </w:pPr>
            <w:r w:rsidRPr="001C388C">
              <w:rPr>
                <w:rFonts w:eastAsia="Times New Roman" w:cs="Arial"/>
                <w:color w:val="000000"/>
                <w:sz w:val="18"/>
                <w:szCs w:val="18"/>
              </w:rPr>
              <w:t>4-6</w:t>
            </w:r>
          </w:p>
        </w:tc>
      </w:tr>
      <w:tr w:rsidR="001C388C" w:rsidRPr="001C388C" w14:paraId="1C4BCE1F" w14:textId="77777777" w:rsidTr="001C388C">
        <w:trPr>
          <w:trHeight w:val="239"/>
        </w:trPr>
        <w:tc>
          <w:tcPr>
            <w:tcW w:w="1429" w:type="dxa"/>
            <w:vMerge/>
            <w:tcBorders>
              <w:top w:val="nil"/>
              <w:left w:val="single" w:sz="8" w:space="0" w:color="000000"/>
              <w:bottom w:val="single" w:sz="4" w:space="0" w:color="000000"/>
              <w:right w:val="single" w:sz="4" w:space="0" w:color="000000"/>
            </w:tcBorders>
            <w:vAlign w:val="center"/>
            <w:hideMark/>
          </w:tcPr>
          <w:p w14:paraId="0E245B3B"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23CCA24E"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Research question(s)</w:t>
            </w:r>
          </w:p>
        </w:tc>
        <w:tc>
          <w:tcPr>
            <w:tcW w:w="4602" w:type="dxa"/>
            <w:tcBorders>
              <w:top w:val="nil"/>
              <w:left w:val="nil"/>
              <w:bottom w:val="single" w:sz="4" w:space="0" w:color="000000"/>
              <w:right w:val="single" w:sz="4" w:space="0" w:color="000000"/>
            </w:tcBorders>
            <w:shd w:val="clear" w:color="auto" w:fill="auto"/>
            <w:vAlign w:val="center"/>
            <w:hideMark/>
          </w:tcPr>
          <w:p w14:paraId="7C7B42D4"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 </w:t>
            </w:r>
          </w:p>
        </w:tc>
        <w:tc>
          <w:tcPr>
            <w:tcW w:w="1107" w:type="dxa"/>
            <w:tcBorders>
              <w:top w:val="single" w:sz="4" w:space="0" w:color="000000"/>
              <w:left w:val="nil"/>
              <w:bottom w:val="single" w:sz="4" w:space="0" w:color="000000"/>
              <w:right w:val="nil"/>
            </w:tcBorders>
            <w:shd w:val="clear" w:color="auto" w:fill="auto"/>
            <w:vAlign w:val="center"/>
            <w:hideMark/>
          </w:tcPr>
          <w:p w14:paraId="1FBFBD92"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19D85BF0" w14:textId="77777777" w:rsidR="001C388C" w:rsidRPr="001C388C" w:rsidRDefault="001C388C" w:rsidP="001C388C">
            <w:pPr>
              <w:spacing w:before="0" w:after="0" w:line="240" w:lineRule="auto"/>
              <w:jc w:val="center"/>
              <w:rPr>
                <w:rFonts w:eastAsia="Times New Roman" w:cs="Arial"/>
                <w:color w:val="000000"/>
                <w:sz w:val="18"/>
                <w:szCs w:val="18"/>
              </w:rPr>
            </w:pPr>
            <w:r w:rsidRPr="001C388C">
              <w:rPr>
                <w:rFonts w:eastAsia="Times New Roman" w:cs="Arial"/>
                <w:color w:val="000000"/>
                <w:sz w:val="18"/>
                <w:szCs w:val="18"/>
              </w:rPr>
              <w:t>4-6</w:t>
            </w:r>
          </w:p>
        </w:tc>
      </w:tr>
      <w:tr w:rsidR="001C388C" w:rsidRPr="001C388C" w14:paraId="24853404" w14:textId="77777777" w:rsidTr="001C388C">
        <w:trPr>
          <w:trHeight w:val="438"/>
        </w:trPr>
        <w:tc>
          <w:tcPr>
            <w:tcW w:w="1429"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232F3D20"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Research design</w:t>
            </w:r>
          </w:p>
        </w:tc>
        <w:tc>
          <w:tcPr>
            <w:tcW w:w="1921" w:type="dxa"/>
            <w:tcBorders>
              <w:top w:val="single" w:sz="4" w:space="0" w:color="000000"/>
              <w:left w:val="nil"/>
              <w:bottom w:val="single" w:sz="4" w:space="0" w:color="000000"/>
              <w:right w:val="single" w:sz="4" w:space="0" w:color="000000"/>
            </w:tcBorders>
            <w:shd w:val="clear" w:color="auto" w:fill="auto"/>
            <w:vAlign w:val="center"/>
            <w:hideMark/>
          </w:tcPr>
          <w:p w14:paraId="6648C180"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Basic methodological framework</w:t>
            </w:r>
          </w:p>
        </w:tc>
        <w:tc>
          <w:tcPr>
            <w:tcW w:w="4602" w:type="dxa"/>
            <w:tcBorders>
              <w:top w:val="single" w:sz="4" w:space="0" w:color="000000"/>
              <w:left w:val="nil"/>
              <w:bottom w:val="single" w:sz="4" w:space="0" w:color="000000"/>
              <w:right w:val="single" w:sz="4" w:space="0" w:color="000000"/>
            </w:tcBorders>
            <w:shd w:val="clear" w:color="auto" w:fill="auto"/>
            <w:vAlign w:val="center"/>
            <w:hideMark/>
          </w:tcPr>
          <w:p w14:paraId="10343347"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Outline of the identification strategy in your study (experimental/non-experimental)</w:t>
            </w:r>
          </w:p>
        </w:tc>
        <w:tc>
          <w:tcPr>
            <w:tcW w:w="1107" w:type="dxa"/>
            <w:tcBorders>
              <w:top w:val="nil"/>
              <w:left w:val="nil"/>
              <w:bottom w:val="single" w:sz="4" w:space="0" w:color="000000"/>
              <w:right w:val="nil"/>
            </w:tcBorders>
            <w:shd w:val="clear" w:color="auto" w:fill="auto"/>
            <w:vAlign w:val="center"/>
            <w:hideMark/>
          </w:tcPr>
          <w:p w14:paraId="3D9FF439" w14:textId="7055C968" w:rsidR="001C388C" w:rsidRPr="0039648E" w:rsidRDefault="0050437F"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C6908D9" w14:textId="6D8E8F20" w:rsidR="001C388C" w:rsidRPr="001C388C" w:rsidRDefault="00F534DC"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14</w:t>
            </w:r>
          </w:p>
        </w:tc>
      </w:tr>
      <w:tr w:rsidR="001C388C" w:rsidRPr="001C388C" w14:paraId="166FC896" w14:textId="77777777" w:rsidTr="001C388C">
        <w:trPr>
          <w:trHeight w:val="438"/>
        </w:trPr>
        <w:tc>
          <w:tcPr>
            <w:tcW w:w="1429" w:type="dxa"/>
            <w:vMerge/>
            <w:tcBorders>
              <w:top w:val="nil"/>
              <w:left w:val="single" w:sz="8" w:space="0" w:color="000000"/>
              <w:bottom w:val="single" w:sz="4" w:space="0" w:color="000000"/>
              <w:right w:val="single" w:sz="4" w:space="0" w:color="000000"/>
            </w:tcBorders>
            <w:vAlign w:val="center"/>
            <w:hideMark/>
          </w:tcPr>
          <w:p w14:paraId="2529465C"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3B7D0725"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Hypotheses</w:t>
            </w:r>
          </w:p>
        </w:tc>
        <w:tc>
          <w:tcPr>
            <w:tcW w:w="4602" w:type="dxa"/>
            <w:tcBorders>
              <w:top w:val="nil"/>
              <w:left w:val="nil"/>
              <w:bottom w:val="single" w:sz="4" w:space="0" w:color="000000"/>
              <w:right w:val="single" w:sz="4" w:space="0" w:color="000000"/>
            </w:tcBorders>
            <w:shd w:val="clear" w:color="auto" w:fill="auto"/>
            <w:vAlign w:val="center"/>
            <w:hideMark/>
          </w:tcPr>
          <w:p w14:paraId="4687FA78"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Pre-specified hypotheses to be tested in the study and reported as primary findings in the Stage 2 full manuscript</w:t>
            </w:r>
          </w:p>
        </w:tc>
        <w:tc>
          <w:tcPr>
            <w:tcW w:w="1107" w:type="dxa"/>
            <w:tcBorders>
              <w:top w:val="nil"/>
              <w:left w:val="nil"/>
              <w:bottom w:val="single" w:sz="4" w:space="0" w:color="000000"/>
              <w:right w:val="nil"/>
            </w:tcBorders>
            <w:shd w:val="clear" w:color="auto" w:fill="auto"/>
            <w:vAlign w:val="center"/>
            <w:hideMark/>
          </w:tcPr>
          <w:p w14:paraId="69A0BA3D"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56159E89" w14:textId="0724A0C6" w:rsidR="001C388C" w:rsidRPr="001C388C" w:rsidRDefault="00F534DC"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8</w:t>
            </w:r>
            <w:r w:rsidR="001C388C" w:rsidRPr="001C388C">
              <w:rPr>
                <w:rFonts w:eastAsia="Times New Roman" w:cs="Arial"/>
                <w:color w:val="000000"/>
                <w:sz w:val="18"/>
                <w:szCs w:val="18"/>
              </w:rPr>
              <w:t>-</w:t>
            </w:r>
            <w:r>
              <w:rPr>
                <w:rFonts w:eastAsia="Times New Roman" w:cs="Arial"/>
                <w:color w:val="000000"/>
                <w:sz w:val="18"/>
                <w:szCs w:val="18"/>
              </w:rPr>
              <w:t>10</w:t>
            </w:r>
          </w:p>
        </w:tc>
      </w:tr>
      <w:tr w:rsidR="001C388C" w:rsidRPr="001C388C" w14:paraId="7306087C"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596EDBA9"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EDD2F1"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Outcome variable(s)</w:t>
            </w:r>
          </w:p>
        </w:tc>
        <w:tc>
          <w:tcPr>
            <w:tcW w:w="4602" w:type="dxa"/>
            <w:tcBorders>
              <w:top w:val="nil"/>
              <w:left w:val="nil"/>
              <w:bottom w:val="single" w:sz="4" w:space="0" w:color="000000"/>
              <w:right w:val="single" w:sz="4" w:space="0" w:color="000000"/>
            </w:tcBorders>
            <w:shd w:val="clear" w:color="auto" w:fill="auto"/>
            <w:vAlign w:val="center"/>
            <w:hideMark/>
          </w:tcPr>
          <w:p w14:paraId="1AC21449"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Definition of the main outcome variable(s) and (if applicable) secondary outcome variable(s)</w:t>
            </w:r>
          </w:p>
        </w:tc>
        <w:tc>
          <w:tcPr>
            <w:tcW w:w="1107" w:type="dxa"/>
            <w:tcBorders>
              <w:top w:val="nil"/>
              <w:left w:val="nil"/>
              <w:bottom w:val="single" w:sz="4" w:space="0" w:color="000000"/>
              <w:right w:val="nil"/>
            </w:tcBorders>
            <w:shd w:val="clear" w:color="auto" w:fill="auto"/>
            <w:vAlign w:val="center"/>
            <w:hideMark/>
          </w:tcPr>
          <w:p w14:paraId="2290F8DB"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2EA7B636" w14:textId="49402D2B" w:rsidR="001C388C" w:rsidRPr="001C388C" w:rsidRDefault="00F534DC"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10</w:t>
            </w:r>
            <w:r w:rsidR="001C388C" w:rsidRPr="001C388C">
              <w:rPr>
                <w:rFonts w:eastAsia="Times New Roman" w:cs="Arial"/>
                <w:color w:val="000000"/>
                <w:sz w:val="18"/>
                <w:szCs w:val="18"/>
              </w:rPr>
              <w:t>-</w:t>
            </w:r>
            <w:r>
              <w:rPr>
                <w:rFonts w:eastAsia="Times New Roman" w:cs="Arial"/>
                <w:color w:val="000000"/>
                <w:sz w:val="18"/>
                <w:szCs w:val="18"/>
              </w:rPr>
              <w:t>1</w:t>
            </w:r>
            <w:r w:rsidR="00E77A30">
              <w:rPr>
                <w:rFonts w:eastAsia="Times New Roman" w:cs="Arial"/>
                <w:color w:val="000000"/>
                <w:sz w:val="18"/>
                <w:szCs w:val="18"/>
              </w:rPr>
              <w:t>4</w:t>
            </w:r>
          </w:p>
        </w:tc>
      </w:tr>
      <w:tr w:rsidR="001C388C" w:rsidRPr="001C388C" w14:paraId="67D9A3AC"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49807934"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60B698FB"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5817ADE6"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Specification of how outcome(s) will be constructed from the dataset</w:t>
            </w:r>
          </w:p>
        </w:tc>
        <w:tc>
          <w:tcPr>
            <w:tcW w:w="1107" w:type="dxa"/>
            <w:tcBorders>
              <w:top w:val="nil"/>
              <w:left w:val="nil"/>
              <w:bottom w:val="single" w:sz="4" w:space="0" w:color="000000"/>
              <w:right w:val="nil"/>
            </w:tcBorders>
            <w:shd w:val="clear" w:color="auto" w:fill="auto"/>
            <w:vAlign w:val="center"/>
            <w:hideMark/>
          </w:tcPr>
          <w:p w14:paraId="1F772CCB"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9FE323A" w14:textId="47466460"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10</w:t>
            </w:r>
            <w:r w:rsidR="001C388C" w:rsidRPr="001C388C">
              <w:rPr>
                <w:rFonts w:eastAsia="Times New Roman" w:cs="Arial"/>
                <w:color w:val="000000"/>
                <w:sz w:val="18"/>
                <w:szCs w:val="18"/>
              </w:rPr>
              <w:t>-1</w:t>
            </w:r>
            <w:r>
              <w:rPr>
                <w:rFonts w:eastAsia="Times New Roman" w:cs="Arial"/>
                <w:color w:val="000000"/>
                <w:sz w:val="18"/>
                <w:szCs w:val="18"/>
              </w:rPr>
              <w:t>4</w:t>
            </w:r>
          </w:p>
        </w:tc>
      </w:tr>
      <w:tr w:rsidR="001C388C" w:rsidRPr="001C388C" w14:paraId="477B5F79"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2368FE10"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E779F7"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Intervention(s)</w:t>
            </w:r>
          </w:p>
        </w:tc>
        <w:tc>
          <w:tcPr>
            <w:tcW w:w="4602" w:type="dxa"/>
            <w:tcBorders>
              <w:top w:val="nil"/>
              <w:left w:val="nil"/>
              <w:bottom w:val="single" w:sz="4" w:space="0" w:color="000000"/>
              <w:right w:val="single" w:sz="4" w:space="0" w:color="000000"/>
            </w:tcBorders>
            <w:shd w:val="clear" w:color="auto" w:fill="auto"/>
            <w:vAlign w:val="center"/>
            <w:hideMark/>
          </w:tcPr>
          <w:p w14:paraId="043EBD85"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Details of the intervention (when, where, how, by whom)</w:t>
            </w:r>
          </w:p>
        </w:tc>
        <w:tc>
          <w:tcPr>
            <w:tcW w:w="1107" w:type="dxa"/>
            <w:tcBorders>
              <w:top w:val="nil"/>
              <w:left w:val="nil"/>
              <w:bottom w:val="single" w:sz="4" w:space="0" w:color="000000"/>
              <w:right w:val="nil"/>
            </w:tcBorders>
            <w:shd w:val="clear" w:color="auto" w:fill="auto"/>
            <w:vAlign w:val="center"/>
            <w:hideMark/>
          </w:tcPr>
          <w:p w14:paraId="75F9410C"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7641703A" w14:textId="72857FDA"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7-8</w:t>
            </w:r>
          </w:p>
        </w:tc>
      </w:tr>
      <w:tr w:rsidR="001C388C" w:rsidRPr="001C388C" w14:paraId="75BAA747"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630A8F47"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27278D55"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3365B6FE"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Number of treatment arms and whether they are exclusive or overlapping</w:t>
            </w:r>
          </w:p>
        </w:tc>
        <w:tc>
          <w:tcPr>
            <w:tcW w:w="1107" w:type="dxa"/>
            <w:tcBorders>
              <w:top w:val="nil"/>
              <w:left w:val="nil"/>
              <w:bottom w:val="single" w:sz="4" w:space="0" w:color="000000"/>
              <w:right w:val="nil"/>
            </w:tcBorders>
            <w:shd w:val="clear" w:color="auto" w:fill="auto"/>
            <w:vAlign w:val="center"/>
            <w:hideMark/>
          </w:tcPr>
          <w:p w14:paraId="602A0231"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46A2FC6C" w14:textId="0686CB41"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7-8</w:t>
            </w:r>
          </w:p>
        </w:tc>
      </w:tr>
      <w:tr w:rsidR="001C388C" w:rsidRPr="001C388C" w14:paraId="365D4427"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14B04C27"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4A66234C"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4B64FE1D"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Randomization strategy</w:t>
            </w:r>
          </w:p>
        </w:tc>
        <w:tc>
          <w:tcPr>
            <w:tcW w:w="1107" w:type="dxa"/>
            <w:tcBorders>
              <w:top w:val="nil"/>
              <w:left w:val="nil"/>
              <w:bottom w:val="single" w:sz="4" w:space="0" w:color="000000"/>
              <w:right w:val="nil"/>
            </w:tcBorders>
            <w:shd w:val="clear" w:color="auto" w:fill="auto"/>
            <w:vAlign w:val="center"/>
            <w:hideMark/>
          </w:tcPr>
          <w:p w14:paraId="7C7580C3"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42D9BE10" w14:textId="7C30363B"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18</w:t>
            </w:r>
          </w:p>
        </w:tc>
      </w:tr>
      <w:tr w:rsidR="001C388C" w:rsidRPr="001C388C" w14:paraId="69AA8276" w14:textId="77777777" w:rsidTr="00851F75">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330C6BED"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7E95422E"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3F18CBCF"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Blinding strategy (if applicable)</w:t>
            </w:r>
          </w:p>
        </w:tc>
        <w:tc>
          <w:tcPr>
            <w:tcW w:w="1107" w:type="dxa"/>
            <w:tcBorders>
              <w:top w:val="nil"/>
              <w:left w:val="nil"/>
              <w:bottom w:val="single" w:sz="4" w:space="0" w:color="000000"/>
              <w:right w:val="nil"/>
            </w:tcBorders>
            <w:shd w:val="clear" w:color="auto" w:fill="auto"/>
            <w:vAlign w:val="center"/>
            <w:hideMark/>
          </w:tcPr>
          <w:p w14:paraId="354F89A9" w14:textId="77777777" w:rsidR="001C388C" w:rsidRPr="0039648E" w:rsidRDefault="001C388C" w:rsidP="00E77A30">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N/A</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4760DA7B" w14:textId="06FBEE81" w:rsidR="001C388C" w:rsidRPr="001C388C" w:rsidRDefault="001C388C" w:rsidP="001C388C">
            <w:pPr>
              <w:spacing w:before="0" w:after="0" w:line="240" w:lineRule="auto"/>
              <w:jc w:val="center"/>
              <w:rPr>
                <w:rFonts w:eastAsia="Times New Roman" w:cs="Arial"/>
                <w:color w:val="000000"/>
                <w:sz w:val="18"/>
                <w:szCs w:val="18"/>
              </w:rPr>
            </w:pPr>
          </w:p>
        </w:tc>
      </w:tr>
      <w:tr w:rsidR="001C388C" w:rsidRPr="001C388C" w14:paraId="673B6FB4" w14:textId="77777777" w:rsidTr="00851F75">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4D5BEAA4"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5A45867E"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384585B6"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Instructions and supporting materials for administering the intervention</w:t>
            </w:r>
          </w:p>
        </w:tc>
        <w:tc>
          <w:tcPr>
            <w:tcW w:w="1107" w:type="dxa"/>
            <w:tcBorders>
              <w:top w:val="nil"/>
              <w:left w:val="nil"/>
              <w:bottom w:val="single" w:sz="4" w:space="0" w:color="000000"/>
              <w:right w:val="nil"/>
            </w:tcBorders>
            <w:shd w:val="clear" w:color="auto" w:fill="auto"/>
            <w:vAlign w:val="center"/>
            <w:hideMark/>
          </w:tcPr>
          <w:p w14:paraId="5E276D35" w14:textId="35555231" w:rsidR="001C388C" w:rsidRPr="0039648E" w:rsidRDefault="00CC2C64" w:rsidP="00E77A30">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N/A</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29957F25" w14:textId="43008652" w:rsidR="001C388C" w:rsidRPr="001C388C" w:rsidRDefault="001C388C" w:rsidP="001C388C">
            <w:pPr>
              <w:spacing w:before="0" w:after="0" w:line="240" w:lineRule="auto"/>
              <w:jc w:val="center"/>
              <w:rPr>
                <w:rFonts w:eastAsia="Times New Roman" w:cs="Arial"/>
                <w:color w:val="000000"/>
                <w:sz w:val="18"/>
                <w:szCs w:val="18"/>
              </w:rPr>
            </w:pPr>
          </w:p>
        </w:tc>
      </w:tr>
      <w:tr w:rsidR="001C388C" w:rsidRPr="001C388C" w14:paraId="1D7BF4D2"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6E392E3F"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22B00945"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56606293"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Source(s) of exogenous variation</w:t>
            </w:r>
          </w:p>
        </w:tc>
        <w:tc>
          <w:tcPr>
            <w:tcW w:w="1107" w:type="dxa"/>
            <w:tcBorders>
              <w:top w:val="nil"/>
              <w:left w:val="nil"/>
              <w:bottom w:val="single" w:sz="4" w:space="0" w:color="000000"/>
              <w:right w:val="nil"/>
            </w:tcBorders>
            <w:shd w:val="clear" w:color="auto" w:fill="auto"/>
            <w:vAlign w:val="center"/>
            <w:hideMark/>
          </w:tcPr>
          <w:p w14:paraId="4AB27852"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BBEB03D" w14:textId="609D696C" w:rsidR="001C388C" w:rsidRPr="001C388C" w:rsidRDefault="00E77A30" w:rsidP="001C388C">
            <w:pPr>
              <w:spacing w:before="0" w:after="0" w:line="240" w:lineRule="auto"/>
              <w:jc w:val="center"/>
              <w:rPr>
                <w:rFonts w:eastAsia="Times New Roman" w:cs="Arial"/>
                <w:color w:val="000000"/>
                <w:sz w:val="18"/>
                <w:szCs w:val="18"/>
              </w:rPr>
            </w:pPr>
            <w:r w:rsidRPr="001C388C">
              <w:rPr>
                <w:rFonts w:eastAsia="Times New Roman" w:cs="Arial"/>
                <w:color w:val="000000"/>
                <w:sz w:val="18"/>
                <w:szCs w:val="18"/>
              </w:rPr>
              <w:t>1</w:t>
            </w:r>
            <w:r>
              <w:rPr>
                <w:rFonts w:eastAsia="Times New Roman" w:cs="Arial"/>
                <w:color w:val="000000"/>
                <w:sz w:val="18"/>
                <w:szCs w:val="18"/>
              </w:rPr>
              <w:t>4</w:t>
            </w:r>
          </w:p>
        </w:tc>
      </w:tr>
      <w:tr w:rsidR="001C388C" w:rsidRPr="001C388C" w14:paraId="24AD944E"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376BDBE7"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3FE00EED"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Theory of change</w:t>
            </w:r>
          </w:p>
        </w:tc>
        <w:tc>
          <w:tcPr>
            <w:tcW w:w="4602" w:type="dxa"/>
            <w:tcBorders>
              <w:top w:val="nil"/>
              <w:left w:val="nil"/>
              <w:bottom w:val="single" w:sz="4" w:space="0" w:color="000000"/>
              <w:right w:val="single" w:sz="4" w:space="0" w:color="000000"/>
            </w:tcBorders>
            <w:shd w:val="clear" w:color="auto" w:fill="auto"/>
            <w:vAlign w:val="center"/>
            <w:hideMark/>
          </w:tcPr>
          <w:p w14:paraId="11A9640E"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How and why the intervention is predicted to lead to certain effects</w:t>
            </w:r>
          </w:p>
        </w:tc>
        <w:tc>
          <w:tcPr>
            <w:tcW w:w="1107" w:type="dxa"/>
            <w:tcBorders>
              <w:top w:val="nil"/>
              <w:left w:val="nil"/>
              <w:bottom w:val="single" w:sz="4" w:space="0" w:color="000000"/>
              <w:right w:val="nil"/>
            </w:tcBorders>
            <w:shd w:val="clear" w:color="auto" w:fill="auto"/>
            <w:vAlign w:val="center"/>
            <w:hideMark/>
          </w:tcPr>
          <w:p w14:paraId="2A702B47"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2C39137E" w14:textId="11E234F8"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8-10</w:t>
            </w:r>
          </w:p>
        </w:tc>
      </w:tr>
      <w:tr w:rsidR="001C388C" w:rsidRPr="001C388C" w14:paraId="064385F9"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321F2B69"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D12206"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Sample</w:t>
            </w:r>
          </w:p>
        </w:tc>
        <w:tc>
          <w:tcPr>
            <w:tcW w:w="4602" w:type="dxa"/>
            <w:tcBorders>
              <w:top w:val="nil"/>
              <w:left w:val="nil"/>
              <w:bottom w:val="single" w:sz="4" w:space="0" w:color="000000"/>
              <w:right w:val="single" w:sz="4" w:space="0" w:color="000000"/>
            </w:tcBorders>
            <w:shd w:val="clear" w:color="auto" w:fill="auto"/>
            <w:vAlign w:val="center"/>
            <w:hideMark/>
          </w:tcPr>
          <w:p w14:paraId="221339F1"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Specification of unit of analysis (individuals, organizations, countries, etc.)</w:t>
            </w:r>
          </w:p>
        </w:tc>
        <w:tc>
          <w:tcPr>
            <w:tcW w:w="1107" w:type="dxa"/>
            <w:tcBorders>
              <w:top w:val="nil"/>
              <w:left w:val="nil"/>
              <w:bottom w:val="single" w:sz="4" w:space="0" w:color="000000"/>
              <w:right w:val="nil"/>
            </w:tcBorders>
            <w:shd w:val="clear" w:color="auto" w:fill="auto"/>
            <w:vAlign w:val="center"/>
            <w:hideMark/>
          </w:tcPr>
          <w:p w14:paraId="56A28C78"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4F3C118" w14:textId="2E16D4AD" w:rsidR="001C388C" w:rsidRPr="001C388C" w:rsidRDefault="00E77A30" w:rsidP="001C388C">
            <w:pPr>
              <w:spacing w:before="0" w:after="0" w:line="240" w:lineRule="auto"/>
              <w:jc w:val="center"/>
              <w:rPr>
                <w:rFonts w:eastAsia="Times New Roman" w:cs="Arial"/>
                <w:color w:val="000000"/>
                <w:sz w:val="18"/>
                <w:szCs w:val="18"/>
              </w:rPr>
            </w:pPr>
            <w:r w:rsidRPr="001C388C">
              <w:rPr>
                <w:rFonts w:eastAsia="Times New Roman" w:cs="Arial"/>
                <w:color w:val="000000"/>
                <w:sz w:val="18"/>
                <w:szCs w:val="18"/>
              </w:rPr>
              <w:t>1</w:t>
            </w:r>
            <w:r>
              <w:rPr>
                <w:rFonts w:eastAsia="Times New Roman" w:cs="Arial"/>
                <w:color w:val="000000"/>
                <w:sz w:val="18"/>
                <w:szCs w:val="18"/>
              </w:rPr>
              <w:t>4</w:t>
            </w:r>
          </w:p>
        </w:tc>
      </w:tr>
      <w:tr w:rsidR="001C388C" w:rsidRPr="001C388C" w14:paraId="2BFB2971"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6777432C"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6558E525"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1E5BA771"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Data source(s)</w:t>
            </w:r>
          </w:p>
        </w:tc>
        <w:tc>
          <w:tcPr>
            <w:tcW w:w="1107" w:type="dxa"/>
            <w:tcBorders>
              <w:top w:val="nil"/>
              <w:left w:val="nil"/>
              <w:bottom w:val="single" w:sz="4" w:space="0" w:color="000000"/>
              <w:right w:val="nil"/>
            </w:tcBorders>
            <w:shd w:val="clear" w:color="auto" w:fill="auto"/>
            <w:vAlign w:val="center"/>
            <w:hideMark/>
          </w:tcPr>
          <w:p w14:paraId="3D335C37"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76656C5D" w14:textId="3CE9CEBC"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18</w:t>
            </w:r>
          </w:p>
        </w:tc>
      </w:tr>
      <w:tr w:rsidR="001C388C" w:rsidRPr="001C388C" w14:paraId="5F740BA5"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5D719F0D"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6AEFAF1B"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081D828B"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Projected sample size and statistical power calculations</w:t>
            </w:r>
          </w:p>
        </w:tc>
        <w:tc>
          <w:tcPr>
            <w:tcW w:w="1107" w:type="dxa"/>
            <w:tcBorders>
              <w:top w:val="nil"/>
              <w:left w:val="nil"/>
              <w:bottom w:val="single" w:sz="4" w:space="0" w:color="000000"/>
              <w:right w:val="nil"/>
            </w:tcBorders>
            <w:shd w:val="clear" w:color="auto" w:fill="auto"/>
            <w:vAlign w:val="center"/>
            <w:hideMark/>
          </w:tcPr>
          <w:p w14:paraId="6F25B8FA"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15364EA7" w14:textId="70ACCCA0"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14-17</w:t>
            </w:r>
          </w:p>
        </w:tc>
      </w:tr>
      <w:tr w:rsidR="001C388C" w:rsidRPr="001C388C" w14:paraId="10139F07"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01EFB4E0"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FAB97C"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Variations from the intended sample</w:t>
            </w:r>
          </w:p>
        </w:tc>
        <w:tc>
          <w:tcPr>
            <w:tcW w:w="4602" w:type="dxa"/>
            <w:tcBorders>
              <w:top w:val="nil"/>
              <w:left w:val="nil"/>
              <w:bottom w:val="single" w:sz="4" w:space="0" w:color="000000"/>
              <w:right w:val="single" w:sz="4" w:space="0" w:color="000000"/>
            </w:tcBorders>
            <w:shd w:val="clear" w:color="auto" w:fill="auto"/>
            <w:vAlign w:val="center"/>
            <w:hideMark/>
          </w:tcPr>
          <w:p w14:paraId="24AAA829"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Specification of the degree of attrition that may threaten the robustness of the study</w:t>
            </w:r>
          </w:p>
        </w:tc>
        <w:tc>
          <w:tcPr>
            <w:tcW w:w="1107" w:type="dxa"/>
            <w:tcBorders>
              <w:top w:val="nil"/>
              <w:left w:val="nil"/>
              <w:bottom w:val="single" w:sz="4" w:space="0" w:color="000000"/>
              <w:right w:val="nil"/>
            </w:tcBorders>
            <w:shd w:val="clear" w:color="auto" w:fill="auto"/>
            <w:vAlign w:val="center"/>
            <w:hideMark/>
          </w:tcPr>
          <w:p w14:paraId="4201FCC5"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614ADD2B" w14:textId="77777777" w:rsidR="001C388C" w:rsidRPr="001C388C" w:rsidRDefault="001C388C" w:rsidP="001C388C">
            <w:pPr>
              <w:spacing w:before="0" w:after="0" w:line="240" w:lineRule="auto"/>
              <w:jc w:val="center"/>
              <w:rPr>
                <w:rFonts w:eastAsia="Times New Roman" w:cs="Arial"/>
                <w:color w:val="000000"/>
                <w:sz w:val="18"/>
                <w:szCs w:val="18"/>
              </w:rPr>
            </w:pPr>
            <w:r w:rsidRPr="001C388C">
              <w:rPr>
                <w:rFonts w:eastAsia="Times New Roman" w:cs="Arial"/>
                <w:color w:val="000000"/>
                <w:sz w:val="18"/>
                <w:szCs w:val="18"/>
              </w:rPr>
              <w:t>13</w:t>
            </w:r>
          </w:p>
        </w:tc>
      </w:tr>
      <w:tr w:rsidR="001C388C" w:rsidRPr="001C388C" w14:paraId="1A183D8D" w14:textId="77777777" w:rsidTr="001509A7">
        <w:trPr>
          <w:trHeight w:val="239"/>
        </w:trPr>
        <w:tc>
          <w:tcPr>
            <w:tcW w:w="1429" w:type="dxa"/>
            <w:vMerge/>
            <w:tcBorders>
              <w:top w:val="nil"/>
              <w:left w:val="single" w:sz="8" w:space="0" w:color="000000"/>
              <w:bottom w:val="single" w:sz="4" w:space="0" w:color="000000"/>
              <w:right w:val="single" w:sz="4" w:space="0" w:color="000000"/>
            </w:tcBorders>
            <w:vAlign w:val="center"/>
            <w:hideMark/>
          </w:tcPr>
          <w:p w14:paraId="5BC8924D"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38A18E1B"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28D57E7F" w14:textId="77777777" w:rsidR="001C388C" w:rsidRPr="001C388C" w:rsidRDefault="001C388C" w:rsidP="001C388C">
            <w:pPr>
              <w:spacing w:before="0" w:after="0" w:line="240" w:lineRule="auto"/>
              <w:jc w:val="left"/>
              <w:rPr>
                <w:rFonts w:eastAsia="Times New Roman" w:cs="Arial"/>
                <w:color w:val="000000"/>
                <w:sz w:val="18"/>
                <w:szCs w:val="18"/>
              </w:rPr>
            </w:pPr>
            <w:r w:rsidRPr="00834EA2">
              <w:rPr>
                <w:rFonts w:eastAsia="Times New Roman" w:cs="Arial"/>
                <w:color w:val="000000"/>
                <w:sz w:val="18"/>
                <w:szCs w:val="18"/>
              </w:rPr>
              <w:t>Strategies to deal with attrition, non-compliance with the assigned treatment, etc.</w:t>
            </w:r>
          </w:p>
        </w:tc>
        <w:tc>
          <w:tcPr>
            <w:tcW w:w="1107" w:type="dxa"/>
            <w:tcBorders>
              <w:top w:val="nil"/>
              <w:left w:val="nil"/>
              <w:bottom w:val="single" w:sz="4" w:space="0" w:color="000000"/>
              <w:right w:val="nil"/>
            </w:tcBorders>
            <w:shd w:val="clear" w:color="auto" w:fill="auto"/>
            <w:vAlign w:val="center"/>
            <w:hideMark/>
          </w:tcPr>
          <w:p w14:paraId="21629C10"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5F09E80E" w14:textId="2E409C10"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14</w:t>
            </w:r>
          </w:p>
        </w:tc>
      </w:tr>
      <w:tr w:rsidR="001C388C" w:rsidRPr="001C388C" w14:paraId="35089ECC"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2EFE033F"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CF4421"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Data collection and processing</w:t>
            </w:r>
          </w:p>
        </w:tc>
        <w:tc>
          <w:tcPr>
            <w:tcW w:w="4602" w:type="dxa"/>
            <w:tcBorders>
              <w:top w:val="nil"/>
              <w:left w:val="nil"/>
              <w:bottom w:val="single" w:sz="4" w:space="0" w:color="000000"/>
              <w:right w:val="single" w:sz="4" w:space="0" w:color="000000"/>
            </w:tcBorders>
            <w:shd w:val="clear" w:color="auto" w:fill="auto"/>
            <w:vAlign w:val="center"/>
            <w:hideMark/>
          </w:tcPr>
          <w:p w14:paraId="67758153"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Type of data, collection method/data source(s), and timeline for collection</w:t>
            </w:r>
          </w:p>
        </w:tc>
        <w:tc>
          <w:tcPr>
            <w:tcW w:w="1107" w:type="dxa"/>
            <w:tcBorders>
              <w:top w:val="nil"/>
              <w:left w:val="nil"/>
              <w:bottom w:val="single" w:sz="4" w:space="0" w:color="000000"/>
              <w:right w:val="nil"/>
            </w:tcBorders>
            <w:shd w:val="clear" w:color="auto" w:fill="auto"/>
            <w:vAlign w:val="center"/>
            <w:hideMark/>
          </w:tcPr>
          <w:p w14:paraId="21EF371A"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7121B423" w14:textId="7FAFE62E"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18</w:t>
            </w:r>
          </w:p>
        </w:tc>
      </w:tr>
      <w:tr w:rsidR="001C388C" w:rsidRPr="001C388C" w14:paraId="54AB98B3" w14:textId="77777777" w:rsidTr="001509A7">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26C0CA28"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4D183666"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34EBC70A"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Rule for terminating data collection / stopping rule</w:t>
            </w:r>
          </w:p>
        </w:tc>
        <w:tc>
          <w:tcPr>
            <w:tcW w:w="1107" w:type="dxa"/>
            <w:tcBorders>
              <w:top w:val="nil"/>
              <w:left w:val="nil"/>
              <w:bottom w:val="single" w:sz="4" w:space="0" w:color="000000"/>
              <w:right w:val="nil"/>
            </w:tcBorders>
            <w:shd w:val="clear" w:color="auto" w:fill="auto"/>
            <w:vAlign w:val="center"/>
            <w:hideMark/>
          </w:tcPr>
          <w:p w14:paraId="543F9842" w14:textId="6CB93DE0" w:rsidR="001C388C" w:rsidRPr="0039648E" w:rsidRDefault="00834EA2"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26C0FCB6" w14:textId="1A1E60C9"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19</w:t>
            </w:r>
          </w:p>
        </w:tc>
      </w:tr>
      <w:tr w:rsidR="001C388C" w:rsidRPr="001C388C" w14:paraId="5D087C5E" w14:textId="77777777" w:rsidTr="001509A7">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560DE8E9"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6EAD2356"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03317B47"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Data management plan</w:t>
            </w:r>
          </w:p>
        </w:tc>
        <w:tc>
          <w:tcPr>
            <w:tcW w:w="1107" w:type="dxa"/>
            <w:tcBorders>
              <w:top w:val="nil"/>
              <w:left w:val="nil"/>
              <w:bottom w:val="single" w:sz="4" w:space="0" w:color="000000"/>
              <w:right w:val="nil"/>
            </w:tcBorders>
            <w:shd w:val="clear" w:color="auto" w:fill="auto"/>
            <w:vAlign w:val="center"/>
            <w:hideMark/>
          </w:tcPr>
          <w:p w14:paraId="1C530EF7" w14:textId="48F4E21C" w:rsidR="001C388C" w:rsidRPr="0039648E" w:rsidRDefault="00834EA2"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971C7BD" w14:textId="1A73AC0E"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19</w:t>
            </w:r>
          </w:p>
        </w:tc>
      </w:tr>
      <w:tr w:rsidR="001C388C" w:rsidRPr="001C388C" w14:paraId="78837DC8" w14:textId="77777777" w:rsidTr="001509A7">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299812C4"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4A14C344"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1993EE48"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Pilot data and experiments run in preparation of the Stage 1 submission</w:t>
            </w:r>
          </w:p>
        </w:tc>
        <w:tc>
          <w:tcPr>
            <w:tcW w:w="1107" w:type="dxa"/>
            <w:tcBorders>
              <w:top w:val="nil"/>
              <w:left w:val="nil"/>
              <w:bottom w:val="single" w:sz="4" w:space="0" w:color="000000"/>
              <w:right w:val="nil"/>
            </w:tcBorders>
            <w:shd w:val="clear" w:color="auto" w:fill="auto"/>
            <w:vAlign w:val="center"/>
            <w:hideMark/>
          </w:tcPr>
          <w:p w14:paraId="5B290D2E" w14:textId="376DBE98" w:rsidR="001C388C" w:rsidRPr="0039648E" w:rsidRDefault="00CC2C64"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N/A</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50EB936C" w14:textId="54810B8A" w:rsidR="001C388C" w:rsidRPr="001C388C" w:rsidRDefault="001C388C" w:rsidP="001C388C">
            <w:pPr>
              <w:spacing w:before="0" w:after="0" w:line="240" w:lineRule="auto"/>
              <w:jc w:val="center"/>
              <w:rPr>
                <w:rFonts w:eastAsia="Times New Roman" w:cs="Arial"/>
                <w:color w:val="000000"/>
                <w:sz w:val="18"/>
                <w:szCs w:val="18"/>
              </w:rPr>
            </w:pPr>
          </w:p>
        </w:tc>
      </w:tr>
      <w:tr w:rsidR="001C388C" w:rsidRPr="001C388C" w14:paraId="1C107D9C" w14:textId="77777777" w:rsidTr="001C388C">
        <w:trPr>
          <w:trHeight w:val="225"/>
        </w:trPr>
        <w:tc>
          <w:tcPr>
            <w:tcW w:w="1429"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677D62E8"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Empirical analysis</w:t>
            </w: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4844DB"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Statistical method(s)</w:t>
            </w:r>
          </w:p>
        </w:tc>
        <w:tc>
          <w:tcPr>
            <w:tcW w:w="4602" w:type="dxa"/>
            <w:tcBorders>
              <w:top w:val="nil"/>
              <w:left w:val="nil"/>
              <w:bottom w:val="single" w:sz="4" w:space="0" w:color="000000"/>
              <w:right w:val="single" w:sz="4" w:space="0" w:color="000000"/>
            </w:tcBorders>
            <w:shd w:val="clear" w:color="auto" w:fill="auto"/>
            <w:vAlign w:val="center"/>
            <w:hideMark/>
          </w:tcPr>
          <w:p w14:paraId="7F8678F2"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Main evaluation method(s) and underlying assumptions</w:t>
            </w:r>
          </w:p>
        </w:tc>
        <w:tc>
          <w:tcPr>
            <w:tcW w:w="1107" w:type="dxa"/>
            <w:tcBorders>
              <w:top w:val="nil"/>
              <w:left w:val="nil"/>
              <w:bottom w:val="single" w:sz="4" w:space="0" w:color="000000"/>
              <w:right w:val="nil"/>
            </w:tcBorders>
            <w:shd w:val="clear" w:color="auto" w:fill="auto"/>
            <w:vAlign w:val="center"/>
            <w:hideMark/>
          </w:tcPr>
          <w:p w14:paraId="64DAD1A0"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9A8CEC0" w14:textId="629C4EEE"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26188485"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3FAF85B1"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4BA89DBC"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1EB8053F"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Rules for handling missing values</w:t>
            </w:r>
          </w:p>
        </w:tc>
        <w:tc>
          <w:tcPr>
            <w:tcW w:w="1107" w:type="dxa"/>
            <w:tcBorders>
              <w:top w:val="nil"/>
              <w:left w:val="nil"/>
              <w:bottom w:val="single" w:sz="4" w:space="0" w:color="000000"/>
              <w:right w:val="nil"/>
            </w:tcBorders>
            <w:shd w:val="clear" w:color="auto" w:fill="auto"/>
            <w:vAlign w:val="center"/>
            <w:hideMark/>
          </w:tcPr>
          <w:p w14:paraId="14AE1476"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7553ACC9" w14:textId="34ECFEA5"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45662904" w14:textId="77777777" w:rsidTr="00851F75">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15A0B291"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50EF2CC2"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0294DE47"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Definition and rules for handling outliers</w:t>
            </w:r>
          </w:p>
        </w:tc>
        <w:tc>
          <w:tcPr>
            <w:tcW w:w="1107" w:type="dxa"/>
            <w:tcBorders>
              <w:top w:val="nil"/>
              <w:left w:val="nil"/>
              <w:bottom w:val="single" w:sz="4" w:space="0" w:color="000000"/>
              <w:right w:val="nil"/>
            </w:tcBorders>
            <w:shd w:val="clear" w:color="auto" w:fill="auto"/>
            <w:vAlign w:val="center"/>
            <w:hideMark/>
          </w:tcPr>
          <w:p w14:paraId="24200E6E"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7CD6541F" w14:textId="1084FEA1"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2780F0BD" w14:textId="77777777" w:rsidTr="00851F75">
        <w:trPr>
          <w:trHeight w:val="239"/>
        </w:trPr>
        <w:tc>
          <w:tcPr>
            <w:tcW w:w="1429" w:type="dxa"/>
            <w:vMerge/>
            <w:tcBorders>
              <w:top w:val="nil"/>
              <w:left w:val="single" w:sz="8" w:space="0" w:color="000000"/>
              <w:bottom w:val="single" w:sz="4" w:space="0" w:color="000000"/>
              <w:right w:val="single" w:sz="4" w:space="0" w:color="000000"/>
            </w:tcBorders>
            <w:vAlign w:val="center"/>
            <w:hideMark/>
          </w:tcPr>
          <w:p w14:paraId="7B404CC0"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6CCD5AD5"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 xml:space="preserve">Multiple hypothesis testing </w:t>
            </w:r>
          </w:p>
        </w:tc>
        <w:tc>
          <w:tcPr>
            <w:tcW w:w="4602" w:type="dxa"/>
            <w:tcBorders>
              <w:top w:val="single" w:sz="4" w:space="0" w:color="000000"/>
              <w:left w:val="nil"/>
              <w:bottom w:val="single" w:sz="4" w:space="0" w:color="auto"/>
              <w:right w:val="single" w:sz="4" w:space="0" w:color="000000"/>
            </w:tcBorders>
            <w:shd w:val="clear" w:color="auto" w:fill="auto"/>
            <w:vAlign w:val="center"/>
            <w:hideMark/>
          </w:tcPr>
          <w:p w14:paraId="1D228B9A"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Strategies to prevent false positives</w:t>
            </w:r>
          </w:p>
        </w:tc>
        <w:tc>
          <w:tcPr>
            <w:tcW w:w="1107" w:type="dxa"/>
            <w:tcBorders>
              <w:top w:val="single" w:sz="4" w:space="0" w:color="000000"/>
              <w:left w:val="nil"/>
              <w:bottom w:val="single" w:sz="4" w:space="0" w:color="auto"/>
              <w:right w:val="nil"/>
            </w:tcBorders>
            <w:shd w:val="clear" w:color="auto" w:fill="auto"/>
            <w:vAlign w:val="center"/>
            <w:hideMark/>
          </w:tcPr>
          <w:p w14:paraId="51524DEA"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single" w:sz="4" w:space="0" w:color="000000"/>
              <w:left w:val="single" w:sz="4" w:space="0" w:color="000000"/>
              <w:bottom w:val="single" w:sz="4" w:space="0" w:color="auto"/>
              <w:right w:val="single" w:sz="8" w:space="0" w:color="000000"/>
            </w:tcBorders>
            <w:shd w:val="clear" w:color="auto" w:fill="auto"/>
            <w:vAlign w:val="center"/>
            <w:hideMark/>
          </w:tcPr>
          <w:p w14:paraId="5D83E1F9" w14:textId="18BF0271"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1209F222" w14:textId="77777777" w:rsidTr="00851F75">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18A04FFD"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592961C5"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Heterogeneous effects</w:t>
            </w:r>
          </w:p>
        </w:tc>
        <w:tc>
          <w:tcPr>
            <w:tcW w:w="4602" w:type="dxa"/>
            <w:tcBorders>
              <w:top w:val="single" w:sz="4" w:space="0" w:color="auto"/>
              <w:left w:val="nil"/>
              <w:bottom w:val="single" w:sz="4" w:space="0" w:color="000000"/>
              <w:right w:val="single" w:sz="4" w:space="0" w:color="000000"/>
            </w:tcBorders>
            <w:shd w:val="clear" w:color="auto" w:fill="auto"/>
            <w:vAlign w:val="center"/>
            <w:hideMark/>
          </w:tcPr>
          <w:p w14:paraId="239899A3"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Anticipated heterogeneous effects and theoretical justification</w:t>
            </w:r>
          </w:p>
        </w:tc>
        <w:tc>
          <w:tcPr>
            <w:tcW w:w="1107" w:type="dxa"/>
            <w:tcBorders>
              <w:top w:val="single" w:sz="4" w:space="0" w:color="auto"/>
              <w:left w:val="nil"/>
              <w:bottom w:val="single" w:sz="4" w:space="0" w:color="000000"/>
              <w:right w:val="nil"/>
            </w:tcBorders>
            <w:shd w:val="clear" w:color="auto" w:fill="auto"/>
            <w:vAlign w:val="center"/>
            <w:hideMark/>
          </w:tcPr>
          <w:p w14:paraId="304AB83D"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single" w:sz="4" w:space="0" w:color="auto"/>
              <w:left w:val="single" w:sz="4" w:space="0" w:color="000000"/>
              <w:bottom w:val="single" w:sz="4" w:space="0" w:color="000000"/>
              <w:right w:val="single" w:sz="8" w:space="0" w:color="000000"/>
            </w:tcBorders>
            <w:shd w:val="clear" w:color="auto" w:fill="auto"/>
            <w:vAlign w:val="center"/>
            <w:hideMark/>
          </w:tcPr>
          <w:p w14:paraId="3D8AD493" w14:textId="240F7193"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22</w:t>
            </w:r>
          </w:p>
        </w:tc>
      </w:tr>
      <w:tr w:rsidR="001C388C" w:rsidRPr="001C388C" w14:paraId="2C36C5BD"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229AB6F4"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6975C0"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Statistical model</w:t>
            </w:r>
          </w:p>
        </w:tc>
        <w:tc>
          <w:tcPr>
            <w:tcW w:w="4602" w:type="dxa"/>
            <w:tcBorders>
              <w:top w:val="nil"/>
              <w:left w:val="nil"/>
              <w:bottom w:val="single" w:sz="4" w:space="0" w:color="000000"/>
              <w:right w:val="single" w:sz="4" w:space="0" w:color="000000"/>
            </w:tcBorders>
            <w:shd w:val="clear" w:color="auto" w:fill="auto"/>
            <w:vAlign w:val="center"/>
            <w:hideMark/>
          </w:tcPr>
          <w:p w14:paraId="7CD708AF"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A functional (mathematical) form of the causal mechanism explored in the study</w:t>
            </w:r>
          </w:p>
        </w:tc>
        <w:tc>
          <w:tcPr>
            <w:tcW w:w="1107" w:type="dxa"/>
            <w:tcBorders>
              <w:top w:val="nil"/>
              <w:left w:val="nil"/>
              <w:bottom w:val="single" w:sz="4" w:space="0" w:color="000000"/>
              <w:right w:val="nil"/>
            </w:tcBorders>
            <w:shd w:val="clear" w:color="auto" w:fill="auto"/>
            <w:vAlign w:val="center"/>
            <w:hideMark/>
          </w:tcPr>
          <w:p w14:paraId="60751BC8"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07B7AB64" w14:textId="7F84E64C"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716BC7AC"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4C4CB628"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35F4F5D9"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11884D18"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Specification if regression model is linear, generalized linear, or other</w:t>
            </w:r>
          </w:p>
        </w:tc>
        <w:tc>
          <w:tcPr>
            <w:tcW w:w="1107" w:type="dxa"/>
            <w:tcBorders>
              <w:top w:val="nil"/>
              <w:left w:val="nil"/>
              <w:bottom w:val="single" w:sz="4" w:space="0" w:color="000000"/>
              <w:right w:val="nil"/>
            </w:tcBorders>
            <w:shd w:val="clear" w:color="auto" w:fill="auto"/>
            <w:vAlign w:val="center"/>
            <w:hideMark/>
          </w:tcPr>
          <w:p w14:paraId="35023B3B"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1A7120A" w14:textId="2883DFE8"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2999ED21" w14:textId="77777777" w:rsidTr="001C388C">
        <w:trPr>
          <w:trHeight w:val="225"/>
        </w:trPr>
        <w:tc>
          <w:tcPr>
            <w:tcW w:w="1429" w:type="dxa"/>
            <w:vMerge/>
            <w:tcBorders>
              <w:top w:val="nil"/>
              <w:left w:val="single" w:sz="8" w:space="0" w:color="000000"/>
              <w:bottom w:val="single" w:sz="4" w:space="0" w:color="000000"/>
              <w:right w:val="single" w:sz="4" w:space="0" w:color="000000"/>
            </w:tcBorders>
            <w:vAlign w:val="center"/>
            <w:hideMark/>
          </w:tcPr>
          <w:p w14:paraId="4ED7FA9C"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vMerge/>
            <w:tcBorders>
              <w:top w:val="nil"/>
              <w:left w:val="single" w:sz="4" w:space="0" w:color="000000"/>
              <w:bottom w:val="single" w:sz="4" w:space="0" w:color="000000"/>
              <w:right w:val="single" w:sz="4" w:space="0" w:color="000000"/>
            </w:tcBorders>
            <w:vAlign w:val="center"/>
            <w:hideMark/>
          </w:tcPr>
          <w:p w14:paraId="4EB60684" w14:textId="77777777" w:rsidR="001C388C" w:rsidRPr="001C388C" w:rsidRDefault="001C388C" w:rsidP="001C388C">
            <w:pPr>
              <w:spacing w:before="0" w:after="0" w:line="240" w:lineRule="auto"/>
              <w:jc w:val="left"/>
              <w:rPr>
                <w:rFonts w:eastAsia="Times New Roman" w:cs="Arial"/>
                <w:i/>
                <w:iCs/>
                <w:color w:val="000000"/>
                <w:sz w:val="18"/>
                <w:szCs w:val="18"/>
              </w:rPr>
            </w:pPr>
          </w:p>
        </w:tc>
        <w:tc>
          <w:tcPr>
            <w:tcW w:w="4602" w:type="dxa"/>
            <w:tcBorders>
              <w:top w:val="nil"/>
              <w:left w:val="nil"/>
              <w:bottom w:val="single" w:sz="4" w:space="0" w:color="000000"/>
              <w:right w:val="single" w:sz="4" w:space="0" w:color="000000"/>
            </w:tcBorders>
            <w:shd w:val="clear" w:color="auto" w:fill="auto"/>
            <w:vAlign w:val="center"/>
            <w:hideMark/>
          </w:tcPr>
          <w:p w14:paraId="3824D99C"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How will standard errors be calculated</w:t>
            </w:r>
          </w:p>
        </w:tc>
        <w:tc>
          <w:tcPr>
            <w:tcW w:w="1107" w:type="dxa"/>
            <w:tcBorders>
              <w:top w:val="nil"/>
              <w:left w:val="nil"/>
              <w:bottom w:val="single" w:sz="4" w:space="0" w:color="000000"/>
              <w:right w:val="nil"/>
            </w:tcBorders>
            <w:shd w:val="clear" w:color="auto" w:fill="auto"/>
            <w:vAlign w:val="center"/>
            <w:hideMark/>
          </w:tcPr>
          <w:p w14:paraId="78BCFF79" w14:textId="77777777" w:rsidR="001C388C" w:rsidRPr="0039648E" w:rsidRDefault="001C388C"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05A1C1F1" w14:textId="15671D52"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21</w:t>
            </w:r>
          </w:p>
        </w:tc>
      </w:tr>
      <w:tr w:rsidR="001C388C" w:rsidRPr="001C388C" w14:paraId="45EAF513" w14:textId="77777777" w:rsidTr="00BD53D3">
        <w:trPr>
          <w:trHeight w:val="551"/>
        </w:trPr>
        <w:tc>
          <w:tcPr>
            <w:tcW w:w="1429" w:type="dxa"/>
            <w:tcBorders>
              <w:top w:val="nil"/>
              <w:left w:val="single" w:sz="8" w:space="0" w:color="000000"/>
              <w:bottom w:val="single" w:sz="4" w:space="0" w:color="000000"/>
              <w:right w:val="single" w:sz="4" w:space="0" w:color="000000"/>
            </w:tcBorders>
            <w:shd w:val="clear" w:color="auto" w:fill="auto"/>
            <w:vAlign w:val="center"/>
            <w:hideMark/>
          </w:tcPr>
          <w:p w14:paraId="112AD5C5"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Limitations and challenges</w:t>
            </w:r>
          </w:p>
        </w:tc>
        <w:tc>
          <w:tcPr>
            <w:tcW w:w="1921" w:type="dxa"/>
            <w:tcBorders>
              <w:top w:val="nil"/>
              <w:left w:val="nil"/>
              <w:bottom w:val="single" w:sz="4" w:space="0" w:color="000000"/>
              <w:right w:val="single" w:sz="4" w:space="0" w:color="000000"/>
            </w:tcBorders>
            <w:shd w:val="clear" w:color="auto" w:fill="auto"/>
            <w:vAlign w:val="center"/>
            <w:hideMark/>
          </w:tcPr>
          <w:p w14:paraId="3357A4AF"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Challenges in the study implementation</w:t>
            </w:r>
          </w:p>
        </w:tc>
        <w:tc>
          <w:tcPr>
            <w:tcW w:w="4602" w:type="dxa"/>
            <w:tcBorders>
              <w:top w:val="nil"/>
              <w:left w:val="nil"/>
              <w:bottom w:val="single" w:sz="4" w:space="0" w:color="000000"/>
              <w:right w:val="single" w:sz="4" w:space="0" w:color="000000"/>
            </w:tcBorders>
            <w:shd w:val="clear" w:color="auto" w:fill="auto"/>
            <w:vAlign w:val="center"/>
            <w:hideMark/>
          </w:tcPr>
          <w:p w14:paraId="4455974E"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Potential objective circumstances that might jeopardize the implementation of the proposed study design</w:t>
            </w:r>
          </w:p>
        </w:tc>
        <w:tc>
          <w:tcPr>
            <w:tcW w:w="1107" w:type="dxa"/>
            <w:tcBorders>
              <w:top w:val="nil"/>
              <w:left w:val="nil"/>
              <w:bottom w:val="single" w:sz="4" w:space="0" w:color="000000"/>
              <w:right w:val="nil"/>
            </w:tcBorders>
            <w:shd w:val="clear" w:color="auto" w:fill="auto"/>
            <w:vAlign w:val="center"/>
            <w:hideMark/>
          </w:tcPr>
          <w:p w14:paraId="229A5AFD" w14:textId="6BDB937B" w:rsidR="001C388C" w:rsidRPr="0039648E" w:rsidRDefault="00834EA2" w:rsidP="001C388C">
            <w:pPr>
              <w:spacing w:before="0" w:after="0" w:line="240" w:lineRule="auto"/>
              <w:jc w:val="center"/>
              <w:rPr>
                <w:rFonts w:eastAsia="Times New Roman" w:cs="Arial"/>
                <w:color w:val="000000"/>
                <w:sz w:val="18"/>
                <w:szCs w:val="18"/>
              </w:rPr>
            </w:pPr>
            <w:r w:rsidRPr="0039648E">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16A1529C" w14:textId="2FDC9434" w:rsidR="001C388C" w:rsidRPr="001C388C"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23</w:t>
            </w:r>
          </w:p>
        </w:tc>
      </w:tr>
      <w:tr w:rsidR="001C388C" w:rsidRPr="001C388C" w14:paraId="015A1D01" w14:textId="77777777" w:rsidTr="001C388C">
        <w:trPr>
          <w:trHeight w:val="297"/>
        </w:trPr>
        <w:tc>
          <w:tcPr>
            <w:tcW w:w="1429"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61C8C1E7" w14:textId="77777777" w:rsidR="001C388C" w:rsidRPr="001C388C" w:rsidRDefault="001C388C" w:rsidP="001C388C">
            <w:pPr>
              <w:spacing w:before="0" w:after="0" w:line="240" w:lineRule="auto"/>
              <w:jc w:val="center"/>
              <w:rPr>
                <w:rFonts w:eastAsia="Times New Roman" w:cs="Arial"/>
                <w:b/>
                <w:bCs/>
                <w:color w:val="000000"/>
                <w:sz w:val="18"/>
                <w:szCs w:val="18"/>
              </w:rPr>
            </w:pPr>
            <w:r w:rsidRPr="001C388C">
              <w:rPr>
                <w:rFonts w:eastAsia="Times New Roman" w:cs="Arial"/>
                <w:b/>
                <w:bCs/>
                <w:color w:val="000000"/>
                <w:sz w:val="18"/>
                <w:szCs w:val="18"/>
              </w:rPr>
              <w:t xml:space="preserve">Administrative information </w:t>
            </w:r>
            <w:r w:rsidRPr="001C388C">
              <w:rPr>
                <w:rFonts w:eastAsia="Times New Roman" w:cs="Arial"/>
                <w:b/>
                <w:bCs/>
                <w:i/>
                <w:iCs/>
                <w:color w:val="000000"/>
                <w:sz w:val="18"/>
                <w:szCs w:val="18"/>
              </w:rPr>
              <w:t>(required)</w:t>
            </w:r>
          </w:p>
        </w:tc>
        <w:tc>
          <w:tcPr>
            <w:tcW w:w="1921" w:type="dxa"/>
            <w:tcBorders>
              <w:top w:val="nil"/>
              <w:left w:val="nil"/>
              <w:bottom w:val="single" w:sz="4" w:space="0" w:color="000000"/>
              <w:right w:val="single" w:sz="4" w:space="0" w:color="000000"/>
            </w:tcBorders>
            <w:shd w:val="clear" w:color="auto" w:fill="auto"/>
            <w:vAlign w:val="center"/>
            <w:hideMark/>
          </w:tcPr>
          <w:p w14:paraId="6DC39940"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Ethics approval</w:t>
            </w:r>
          </w:p>
        </w:tc>
        <w:tc>
          <w:tcPr>
            <w:tcW w:w="4602" w:type="dxa"/>
            <w:tcBorders>
              <w:top w:val="nil"/>
              <w:left w:val="nil"/>
              <w:bottom w:val="single" w:sz="4" w:space="0" w:color="000000"/>
              <w:right w:val="single" w:sz="4" w:space="0" w:color="000000"/>
            </w:tcBorders>
            <w:shd w:val="clear" w:color="auto" w:fill="auto"/>
            <w:vAlign w:val="center"/>
            <w:hideMark/>
          </w:tcPr>
          <w:p w14:paraId="03DB2065"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Statement confirming that all necessary ethics approvals are in place.</w:t>
            </w:r>
          </w:p>
        </w:tc>
        <w:tc>
          <w:tcPr>
            <w:tcW w:w="1107" w:type="dxa"/>
            <w:tcBorders>
              <w:top w:val="nil"/>
              <w:left w:val="nil"/>
              <w:bottom w:val="single" w:sz="4" w:space="0" w:color="000000"/>
              <w:right w:val="nil"/>
            </w:tcBorders>
            <w:shd w:val="clear" w:color="auto" w:fill="auto"/>
            <w:vAlign w:val="center"/>
            <w:hideMark/>
          </w:tcPr>
          <w:p w14:paraId="087664CA" w14:textId="77777777" w:rsidR="001C388C" w:rsidRPr="001509A7" w:rsidRDefault="001C388C" w:rsidP="001C388C">
            <w:pPr>
              <w:spacing w:before="0" w:after="0" w:line="240" w:lineRule="auto"/>
              <w:jc w:val="center"/>
              <w:rPr>
                <w:rFonts w:eastAsia="Times New Roman" w:cs="Arial"/>
                <w:color w:val="000000"/>
                <w:sz w:val="18"/>
                <w:szCs w:val="18"/>
              </w:rPr>
            </w:pPr>
            <w:r w:rsidRPr="001509A7">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41053F4C" w14:textId="58FF1BED" w:rsidR="001C388C" w:rsidRPr="007133B5"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29</w:t>
            </w:r>
          </w:p>
        </w:tc>
      </w:tr>
      <w:tr w:rsidR="001C388C" w:rsidRPr="001C388C" w14:paraId="6936ABCC" w14:textId="77777777" w:rsidTr="001C388C">
        <w:trPr>
          <w:trHeight w:val="267"/>
        </w:trPr>
        <w:tc>
          <w:tcPr>
            <w:tcW w:w="1429" w:type="dxa"/>
            <w:vMerge/>
            <w:tcBorders>
              <w:top w:val="nil"/>
              <w:left w:val="single" w:sz="8" w:space="0" w:color="000000"/>
              <w:bottom w:val="single" w:sz="4" w:space="0" w:color="000000"/>
              <w:right w:val="single" w:sz="4" w:space="0" w:color="000000"/>
            </w:tcBorders>
            <w:vAlign w:val="center"/>
            <w:hideMark/>
          </w:tcPr>
          <w:p w14:paraId="79177365"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13B2E733"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Funding</w:t>
            </w:r>
          </w:p>
        </w:tc>
        <w:tc>
          <w:tcPr>
            <w:tcW w:w="4602" w:type="dxa"/>
            <w:tcBorders>
              <w:top w:val="nil"/>
              <w:left w:val="nil"/>
              <w:bottom w:val="single" w:sz="4" w:space="0" w:color="000000"/>
              <w:right w:val="single" w:sz="4" w:space="0" w:color="000000"/>
            </w:tcBorders>
            <w:shd w:val="clear" w:color="auto" w:fill="auto"/>
            <w:vAlign w:val="center"/>
            <w:hideMark/>
          </w:tcPr>
          <w:p w14:paraId="515C5822"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Funding sources in the suggested format</w:t>
            </w:r>
          </w:p>
        </w:tc>
        <w:tc>
          <w:tcPr>
            <w:tcW w:w="1107" w:type="dxa"/>
            <w:tcBorders>
              <w:top w:val="nil"/>
              <w:left w:val="nil"/>
              <w:bottom w:val="single" w:sz="4" w:space="0" w:color="000000"/>
              <w:right w:val="nil"/>
            </w:tcBorders>
            <w:shd w:val="clear" w:color="auto" w:fill="auto"/>
            <w:vAlign w:val="center"/>
            <w:hideMark/>
          </w:tcPr>
          <w:p w14:paraId="5EADEA90" w14:textId="77777777" w:rsidR="001C388C" w:rsidRPr="001509A7" w:rsidRDefault="001C388C" w:rsidP="001C388C">
            <w:pPr>
              <w:spacing w:before="0" w:after="0" w:line="240" w:lineRule="auto"/>
              <w:jc w:val="center"/>
              <w:rPr>
                <w:rFonts w:eastAsia="Times New Roman" w:cs="Arial"/>
                <w:color w:val="000000"/>
                <w:sz w:val="18"/>
                <w:szCs w:val="18"/>
              </w:rPr>
            </w:pPr>
            <w:r w:rsidRPr="001509A7">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510C8AD3" w14:textId="08BFC2DA" w:rsidR="001C388C" w:rsidRPr="007133B5"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29</w:t>
            </w:r>
          </w:p>
        </w:tc>
      </w:tr>
      <w:tr w:rsidR="001C388C" w:rsidRPr="001C388C" w14:paraId="79244C1E" w14:textId="77777777" w:rsidTr="001C388C">
        <w:trPr>
          <w:trHeight w:val="297"/>
        </w:trPr>
        <w:tc>
          <w:tcPr>
            <w:tcW w:w="1429" w:type="dxa"/>
            <w:vMerge/>
            <w:tcBorders>
              <w:top w:val="nil"/>
              <w:left w:val="single" w:sz="8" w:space="0" w:color="000000"/>
              <w:bottom w:val="single" w:sz="4" w:space="0" w:color="000000"/>
              <w:right w:val="single" w:sz="4" w:space="0" w:color="000000"/>
            </w:tcBorders>
            <w:vAlign w:val="center"/>
            <w:hideMark/>
          </w:tcPr>
          <w:p w14:paraId="7169A791" w14:textId="77777777" w:rsidR="001C388C" w:rsidRPr="001C388C" w:rsidRDefault="001C388C" w:rsidP="001C388C">
            <w:pPr>
              <w:spacing w:before="0" w:after="0" w:line="240" w:lineRule="auto"/>
              <w:jc w:val="center"/>
              <w:rPr>
                <w:rFonts w:eastAsia="Times New Roman" w:cs="Arial"/>
                <w:b/>
                <w:bCs/>
                <w:color w:val="000000"/>
                <w:sz w:val="18"/>
                <w:szCs w:val="18"/>
              </w:rPr>
            </w:pPr>
          </w:p>
        </w:tc>
        <w:tc>
          <w:tcPr>
            <w:tcW w:w="1921" w:type="dxa"/>
            <w:tcBorders>
              <w:top w:val="nil"/>
              <w:left w:val="nil"/>
              <w:bottom w:val="single" w:sz="4" w:space="0" w:color="000000"/>
              <w:right w:val="single" w:sz="4" w:space="0" w:color="000000"/>
            </w:tcBorders>
            <w:shd w:val="clear" w:color="auto" w:fill="auto"/>
            <w:vAlign w:val="center"/>
            <w:hideMark/>
          </w:tcPr>
          <w:p w14:paraId="7D4E6C8B" w14:textId="77777777" w:rsidR="001C388C" w:rsidRPr="001C388C" w:rsidRDefault="001C388C" w:rsidP="001C388C">
            <w:pPr>
              <w:spacing w:before="0" w:after="0" w:line="240" w:lineRule="auto"/>
              <w:jc w:val="left"/>
              <w:rPr>
                <w:rFonts w:eastAsia="Times New Roman" w:cs="Arial"/>
                <w:i/>
                <w:iCs/>
                <w:color w:val="000000"/>
                <w:sz w:val="18"/>
                <w:szCs w:val="18"/>
              </w:rPr>
            </w:pPr>
            <w:r w:rsidRPr="001C388C">
              <w:rPr>
                <w:rFonts w:eastAsia="Times New Roman" w:cs="Arial"/>
                <w:i/>
                <w:iCs/>
                <w:color w:val="000000"/>
                <w:sz w:val="18"/>
                <w:szCs w:val="18"/>
              </w:rPr>
              <w:t>Acknowledgments</w:t>
            </w:r>
          </w:p>
        </w:tc>
        <w:tc>
          <w:tcPr>
            <w:tcW w:w="4602" w:type="dxa"/>
            <w:tcBorders>
              <w:top w:val="nil"/>
              <w:left w:val="nil"/>
              <w:bottom w:val="single" w:sz="4" w:space="0" w:color="000000"/>
              <w:right w:val="single" w:sz="4" w:space="0" w:color="000000"/>
            </w:tcBorders>
            <w:shd w:val="clear" w:color="auto" w:fill="auto"/>
            <w:vAlign w:val="center"/>
            <w:hideMark/>
          </w:tcPr>
          <w:p w14:paraId="44A70EE6" w14:textId="77777777" w:rsidR="001C388C" w:rsidRPr="001C388C" w:rsidRDefault="001C388C" w:rsidP="001C388C">
            <w:pPr>
              <w:spacing w:before="0" w:after="0" w:line="240" w:lineRule="auto"/>
              <w:jc w:val="left"/>
              <w:rPr>
                <w:rFonts w:eastAsia="Times New Roman" w:cs="Arial"/>
                <w:color w:val="000000"/>
                <w:sz w:val="18"/>
                <w:szCs w:val="18"/>
              </w:rPr>
            </w:pPr>
            <w:r w:rsidRPr="001C388C">
              <w:rPr>
                <w:rFonts w:eastAsia="Times New Roman" w:cs="Arial"/>
                <w:color w:val="000000"/>
                <w:sz w:val="18"/>
                <w:szCs w:val="18"/>
              </w:rPr>
              <w:t>List of (non-author) individuals who provided help to the research project.</w:t>
            </w:r>
          </w:p>
        </w:tc>
        <w:tc>
          <w:tcPr>
            <w:tcW w:w="1107" w:type="dxa"/>
            <w:tcBorders>
              <w:top w:val="nil"/>
              <w:left w:val="nil"/>
              <w:bottom w:val="single" w:sz="4" w:space="0" w:color="000000"/>
              <w:right w:val="nil"/>
            </w:tcBorders>
            <w:shd w:val="clear" w:color="auto" w:fill="auto"/>
            <w:vAlign w:val="center"/>
            <w:hideMark/>
          </w:tcPr>
          <w:p w14:paraId="57F377E0" w14:textId="77777777" w:rsidR="001C388C" w:rsidRPr="001509A7" w:rsidRDefault="001C388C" w:rsidP="001C388C">
            <w:pPr>
              <w:spacing w:before="0" w:after="0" w:line="240" w:lineRule="auto"/>
              <w:jc w:val="center"/>
              <w:rPr>
                <w:rFonts w:eastAsia="Times New Roman" w:cs="Arial"/>
                <w:color w:val="000000"/>
                <w:sz w:val="18"/>
                <w:szCs w:val="18"/>
              </w:rPr>
            </w:pPr>
            <w:r w:rsidRPr="001509A7">
              <w:rPr>
                <w:rFonts w:eastAsia="Times New Roman" w:cs="Arial"/>
                <w:color w:val="000000"/>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324AC2EA" w14:textId="63DB019D" w:rsidR="001C388C" w:rsidRPr="007133B5" w:rsidRDefault="00E77A30" w:rsidP="001C388C">
            <w:pPr>
              <w:spacing w:before="0" w:after="0" w:line="240" w:lineRule="auto"/>
              <w:jc w:val="center"/>
              <w:rPr>
                <w:rFonts w:eastAsia="Times New Roman" w:cs="Arial"/>
                <w:color w:val="000000"/>
                <w:sz w:val="18"/>
                <w:szCs w:val="18"/>
              </w:rPr>
            </w:pPr>
            <w:r>
              <w:rPr>
                <w:rFonts w:eastAsia="Times New Roman" w:cs="Arial"/>
                <w:color w:val="000000"/>
                <w:sz w:val="18"/>
                <w:szCs w:val="18"/>
              </w:rPr>
              <w:t>29</w:t>
            </w:r>
          </w:p>
        </w:tc>
      </w:tr>
      <w:tr w:rsidR="001C388C" w:rsidRPr="001C388C" w14:paraId="5986FCB8" w14:textId="77777777" w:rsidTr="001C388C">
        <w:trPr>
          <w:trHeight w:val="225"/>
        </w:trPr>
        <w:tc>
          <w:tcPr>
            <w:tcW w:w="1429" w:type="dxa"/>
            <w:tcBorders>
              <w:top w:val="nil"/>
              <w:left w:val="single" w:sz="8" w:space="0" w:color="000000"/>
              <w:bottom w:val="single" w:sz="4" w:space="0" w:color="000000"/>
              <w:right w:val="single" w:sz="4" w:space="0" w:color="000000"/>
            </w:tcBorders>
            <w:shd w:val="clear" w:color="auto" w:fill="auto"/>
            <w:vAlign w:val="center"/>
            <w:hideMark/>
          </w:tcPr>
          <w:p w14:paraId="00891530" w14:textId="77777777" w:rsidR="001C388C" w:rsidRPr="001C388C" w:rsidRDefault="001C388C" w:rsidP="001C388C">
            <w:pPr>
              <w:spacing w:before="0" w:after="0" w:line="240" w:lineRule="auto"/>
              <w:jc w:val="center"/>
              <w:rPr>
                <w:rFonts w:eastAsia="Times New Roman" w:cs="Arial"/>
                <w:b/>
                <w:bCs/>
                <w:sz w:val="18"/>
                <w:szCs w:val="18"/>
              </w:rPr>
            </w:pPr>
            <w:r w:rsidRPr="001C388C">
              <w:rPr>
                <w:rFonts w:eastAsia="Times New Roman" w:cs="Arial"/>
                <w:b/>
                <w:bCs/>
                <w:sz w:val="18"/>
                <w:szCs w:val="18"/>
              </w:rPr>
              <w:t>Bibliography</w:t>
            </w:r>
          </w:p>
        </w:tc>
        <w:tc>
          <w:tcPr>
            <w:tcW w:w="1921" w:type="dxa"/>
            <w:tcBorders>
              <w:top w:val="nil"/>
              <w:left w:val="nil"/>
              <w:bottom w:val="single" w:sz="4" w:space="0" w:color="000000"/>
              <w:right w:val="single" w:sz="4" w:space="0" w:color="000000"/>
            </w:tcBorders>
            <w:shd w:val="clear" w:color="auto" w:fill="auto"/>
            <w:vAlign w:val="center"/>
            <w:hideMark/>
          </w:tcPr>
          <w:p w14:paraId="25FE7056" w14:textId="77777777" w:rsidR="001C388C" w:rsidRPr="001C388C" w:rsidRDefault="001C388C" w:rsidP="001C388C">
            <w:pPr>
              <w:spacing w:before="0" w:after="0" w:line="240" w:lineRule="auto"/>
              <w:jc w:val="left"/>
              <w:rPr>
                <w:rFonts w:eastAsia="Times New Roman" w:cs="Arial"/>
                <w:i/>
                <w:iCs/>
                <w:sz w:val="18"/>
                <w:szCs w:val="18"/>
              </w:rPr>
            </w:pPr>
            <w:r w:rsidRPr="001C388C">
              <w:rPr>
                <w:rFonts w:eastAsia="Times New Roman" w:cs="Arial"/>
                <w:i/>
                <w:iCs/>
                <w:sz w:val="18"/>
                <w:szCs w:val="18"/>
              </w:rPr>
              <w:t>Bibliography</w:t>
            </w:r>
          </w:p>
        </w:tc>
        <w:tc>
          <w:tcPr>
            <w:tcW w:w="4602" w:type="dxa"/>
            <w:tcBorders>
              <w:top w:val="nil"/>
              <w:left w:val="nil"/>
              <w:bottom w:val="single" w:sz="4" w:space="0" w:color="000000"/>
              <w:right w:val="single" w:sz="4" w:space="0" w:color="000000"/>
            </w:tcBorders>
            <w:shd w:val="clear" w:color="auto" w:fill="auto"/>
            <w:vAlign w:val="center"/>
            <w:hideMark/>
          </w:tcPr>
          <w:p w14:paraId="2D2858EE" w14:textId="77777777" w:rsidR="001C388C" w:rsidRPr="001C388C" w:rsidRDefault="001C388C" w:rsidP="001C388C">
            <w:pPr>
              <w:spacing w:before="0" w:after="0" w:line="240" w:lineRule="auto"/>
              <w:jc w:val="left"/>
              <w:rPr>
                <w:rFonts w:eastAsia="Times New Roman" w:cs="Arial"/>
                <w:sz w:val="18"/>
                <w:szCs w:val="18"/>
              </w:rPr>
            </w:pPr>
            <w:r w:rsidRPr="001C388C">
              <w:rPr>
                <w:rFonts w:eastAsia="Times New Roman" w:cs="Arial"/>
                <w:sz w:val="18"/>
                <w:szCs w:val="18"/>
              </w:rPr>
              <w:t xml:space="preserve">References can be in any style or format </w:t>
            </w:r>
            <w:proofErr w:type="gramStart"/>
            <w:r w:rsidRPr="001C388C">
              <w:rPr>
                <w:rFonts w:eastAsia="Times New Roman" w:cs="Arial"/>
                <w:sz w:val="18"/>
                <w:szCs w:val="18"/>
              </w:rPr>
              <w:t>as long as</w:t>
            </w:r>
            <w:proofErr w:type="gramEnd"/>
            <w:r w:rsidRPr="001C388C">
              <w:rPr>
                <w:rFonts w:eastAsia="Times New Roman" w:cs="Arial"/>
                <w:sz w:val="18"/>
                <w:szCs w:val="18"/>
              </w:rPr>
              <w:t xml:space="preserve"> the style is consistent.</w:t>
            </w:r>
          </w:p>
        </w:tc>
        <w:tc>
          <w:tcPr>
            <w:tcW w:w="1107" w:type="dxa"/>
            <w:tcBorders>
              <w:top w:val="nil"/>
              <w:left w:val="nil"/>
              <w:bottom w:val="single" w:sz="4" w:space="0" w:color="000000"/>
              <w:right w:val="nil"/>
            </w:tcBorders>
            <w:shd w:val="clear" w:color="auto" w:fill="auto"/>
            <w:vAlign w:val="center"/>
            <w:hideMark/>
          </w:tcPr>
          <w:p w14:paraId="7FE85E96" w14:textId="77777777" w:rsidR="001C388C" w:rsidRPr="0039648E" w:rsidRDefault="001C388C" w:rsidP="001C388C">
            <w:pPr>
              <w:spacing w:before="0" w:after="0" w:line="240" w:lineRule="auto"/>
              <w:jc w:val="center"/>
              <w:rPr>
                <w:rFonts w:eastAsia="Times New Roman" w:cs="Arial"/>
                <w:sz w:val="18"/>
                <w:szCs w:val="18"/>
              </w:rPr>
            </w:pPr>
            <w:r w:rsidRPr="0039648E">
              <w:rPr>
                <w:rFonts w:eastAsia="Times New Roman" w:cs="Arial"/>
                <w:sz w:val="18"/>
                <w:szCs w:val="18"/>
              </w:rPr>
              <w:t>Yes</w:t>
            </w:r>
          </w:p>
        </w:tc>
        <w:tc>
          <w:tcPr>
            <w:tcW w:w="855" w:type="dxa"/>
            <w:tcBorders>
              <w:top w:val="nil"/>
              <w:left w:val="single" w:sz="4" w:space="0" w:color="000000"/>
              <w:bottom w:val="single" w:sz="4" w:space="0" w:color="000000"/>
              <w:right w:val="single" w:sz="8" w:space="0" w:color="000000"/>
            </w:tcBorders>
            <w:shd w:val="clear" w:color="auto" w:fill="auto"/>
            <w:vAlign w:val="center"/>
            <w:hideMark/>
          </w:tcPr>
          <w:p w14:paraId="1081AAED" w14:textId="36278B96" w:rsidR="001C388C" w:rsidRPr="001C388C" w:rsidRDefault="005C6EF4" w:rsidP="001C388C">
            <w:pPr>
              <w:spacing w:before="0" w:after="0" w:line="240" w:lineRule="auto"/>
              <w:jc w:val="center"/>
              <w:rPr>
                <w:rFonts w:eastAsia="Times New Roman" w:cs="Arial"/>
                <w:sz w:val="18"/>
                <w:szCs w:val="18"/>
              </w:rPr>
            </w:pPr>
            <w:r>
              <w:rPr>
                <w:rFonts w:eastAsia="Times New Roman" w:cs="Arial"/>
                <w:sz w:val="18"/>
                <w:szCs w:val="18"/>
              </w:rPr>
              <w:t>24</w:t>
            </w:r>
            <w:r w:rsidR="00E77A30">
              <w:rPr>
                <w:rFonts w:eastAsia="Times New Roman" w:cs="Arial"/>
                <w:sz w:val="18"/>
                <w:szCs w:val="18"/>
              </w:rPr>
              <w:t>-27</w:t>
            </w:r>
          </w:p>
        </w:tc>
      </w:tr>
      <w:tr w:rsidR="001C388C" w:rsidRPr="001C388C" w14:paraId="701C31DE" w14:textId="77777777" w:rsidTr="001C388C">
        <w:trPr>
          <w:trHeight w:val="239"/>
        </w:trPr>
        <w:tc>
          <w:tcPr>
            <w:tcW w:w="1429" w:type="dxa"/>
            <w:tcBorders>
              <w:top w:val="nil"/>
              <w:left w:val="single" w:sz="8" w:space="0" w:color="000000"/>
              <w:bottom w:val="single" w:sz="8" w:space="0" w:color="000000"/>
              <w:right w:val="single" w:sz="4" w:space="0" w:color="000000"/>
            </w:tcBorders>
            <w:shd w:val="clear" w:color="auto" w:fill="auto"/>
            <w:vAlign w:val="center"/>
            <w:hideMark/>
          </w:tcPr>
          <w:p w14:paraId="2A9A08A5" w14:textId="77777777" w:rsidR="001C388C" w:rsidRPr="001C388C" w:rsidRDefault="001C388C" w:rsidP="001C388C">
            <w:pPr>
              <w:spacing w:before="0" w:after="0" w:line="240" w:lineRule="auto"/>
              <w:jc w:val="center"/>
              <w:rPr>
                <w:rFonts w:eastAsia="Times New Roman" w:cs="Arial"/>
                <w:b/>
                <w:bCs/>
                <w:sz w:val="18"/>
                <w:szCs w:val="18"/>
              </w:rPr>
            </w:pPr>
            <w:r w:rsidRPr="001C388C">
              <w:rPr>
                <w:rFonts w:eastAsia="Times New Roman" w:cs="Arial"/>
                <w:b/>
                <w:bCs/>
                <w:sz w:val="18"/>
                <w:szCs w:val="18"/>
              </w:rPr>
              <w:t>Other items</w:t>
            </w:r>
          </w:p>
        </w:tc>
        <w:tc>
          <w:tcPr>
            <w:tcW w:w="1921" w:type="dxa"/>
            <w:tcBorders>
              <w:top w:val="nil"/>
              <w:left w:val="nil"/>
              <w:bottom w:val="single" w:sz="8" w:space="0" w:color="000000"/>
              <w:right w:val="single" w:sz="4" w:space="0" w:color="000000"/>
            </w:tcBorders>
            <w:shd w:val="clear" w:color="auto" w:fill="auto"/>
            <w:vAlign w:val="center"/>
            <w:hideMark/>
          </w:tcPr>
          <w:p w14:paraId="724A67B2" w14:textId="77777777" w:rsidR="001C388C" w:rsidRPr="001C388C" w:rsidRDefault="001C388C" w:rsidP="001C388C">
            <w:pPr>
              <w:spacing w:before="0" w:after="0" w:line="240" w:lineRule="auto"/>
              <w:jc w:val="left"/>
              <w:rPr>
                <w:rFonts w:eastAsia="Times New Roman" w:cs="Arial"/>
                <w:i/>
                <w:iCs/>
                <w:sz w:val="18"/>
                <w:szCs w:val="18"/>
              </w:rPr>
            </w:pPr>
            <w:r w:rsidRPr="001C388C">
              <w:rPr>
                <w:rFonts w:eastAsia="Times New Roman" w:cs="Arial"/>
                <w:i/>
                <w:iCs/>
                <w:sz w:val="18"/>
                <w:szCs w:val="18"/>
              </w:rPr>
              <w:t>Appendices</w:t>
            </w:r>
          </w:p>
        </w:tc>
        <w:tc>
          <w:tcPr>
            <w:tcW w:w="4602" w:type="dxa"/>
            <w:tcBorders>
              <w:top w:val="nil"/>
              <w:left w:val="nil"/>
              <w:bottom w:val="single" w:sz="8" w:space="0" w:color="000000"/>
              <w:right w:val="single" w:sz="4" w:space="0" w:color="000000"/>
            </w:tcBorders>
            <w:shd w:val="clear" w:color="auto" w:fill="auto"/>
            <w:vAlign w:val="center"/>
            <w:hideMark/>
          </w:tcPr>
          <w:p w14:paraId="2B791BFD" w14:textId="77777777" w:rsidR="001C388C" w:rsidRPr="001C388C" w:rsidRDefault="001C388C" w:rsidP="001C388C">
            <w:pPr>
              <w:spacing w:before="0" w:after="0" w:line="240" w:lineRule="auto"/>
              <w:jc w:val="left"/>
              <w:rPr>
                <w:rFonts w:eastAsia="Times New Roman" w:cs="Arial"/>
                <w:sz w:val="18"/>
                <w:szCs w:val="18"/>
              </w:rPr>
            </w:pPr>
            <w:r w:rsidRPr="001C388C">
              <w:rPr>
                <w:rFonts w:eastAsia="Times New Roman" w:cs="Arial"/>
                <w:sz w:val="18"/>
                <w:szCs w:val="18"/>
              </w:rPr>
              <w:t>Tables and figures</w:t>
            </w:r>
          </w:p>
        </w:tc>
        <w:tc>
          <w:tcPr>
            <w:tcW w:w="1107" w:type="dxa"/>
            <w:tcBorders>
              <w:top w:val="nil"/>
              <w:left w:val="nil"/>
              <w:bottom w:val="single" w:sz="8" w:space="0" w:color="000000"/>
              <w:right w:val="nil"/>
            </w:tcBorders>
            <w:shd w:val="clear" w:color="auto" w:fill="auto"/>
            <w:vAlign w:val="center"/>
            <w:hideMark/>
          </w:tcPr>
          <w:p w14:paraId="60338A5B" w14:textId="77777777" w:rsidR="001C388C" w:rsidRPr="0039648E" w:rsidRDefault="001C388C" w:rsidP="001C388C">
            <w:pPr>
              <w:spacing w:before="0" w:after="0" w:line="240" w:lineRule="auto"/>
              <w:jc w:val="center"/>
              <w:rPr>
                <w:rFonts w:eastAsia="Times New Roman" w:cs="Arial"/>
                <w:sz w:val="18"/>
                <w:szCs w:val="18"/>
              </w:rPr>
            </w:pPr>
            <w:r w:rsidRPr="0039648E">
              <w:rPr>
                <w:rFonts w:eastAsia="Times New Roman" w:cs="Arial"/>
                <w:sz w:val="18"/>
                <w:szCs w:val="18"/>
              </w:rPr>
              <w:t>Yes</w:t>
            </w:r>
          </w:p>
        </w:tc>
        <w:tc>
          <w:tcPr>
            <w:tcW w:w="855" w:type="dxa"/>
            <w:tcBorders>
              <w:top w:val="nil"/>
              <w:left w:val="single" w:sz="4" w:space="0" w:color="000000"/>
              <w:bottom w:val="single" w:sz="8" w:space="0" w:color="000000"/>
              <w:right w:val="single" w:sz="8" w:space="0" w:color="000000"/>
            </w:tcBorders>
            <w:shd w:val="clear" w:color="auto" w:fill="auto"/>
            <w:vAlign w:val="center"/>
            <w:hideMark/>
          </w:tcPr>
          <w:p w14:paraId="344FAFE8" w14:textId="213793DF" w:rsidR="001C388C" w:rsidRPr="001C388C" w:rsidRDefault="00E77A30" w:rsidP="001C388C">
            <w:pPr>
              <w:spacing w:before="0" w:after="0" w:line="240" w:lineRule="auto"/>
              <w:jc w:val="center"/>
              <w:rPr>
                <w:rFonts w:eastAsia="Times New Roman" w:cs="Arial"/>
                <w:sz w:val="18"/>
                <w:szCs w:val="18"/>
              </w:rPr>
            </w:pPr>
            <w:r>
              <w:rPr>
                <w:rFonts w:eastAsia="Times New Roman" w:cs="Arial"/>
                <w:sz w:val="18"/>
                <w:szCs w:val="18"/>
              </w:rPr>
              <w:t>29</w:t>
            </w:r>
          </w:p>
        </w:tc>
      </w:tr>
    </w:tbl>
    <w:p w14:paraId="79FF99B7" w14:textId="77777777" w:rsidR="001C388C" w:rsidRPr="001C388C" w:rsidRDefault="001C388C">
      <w:pPr>
        <w:spacing w:before="0" w:after="160" w:line="259" w:lineRule="auto"/>
        <w:jc w:val="left"/>
      </w:pPr>
      <w:r w:rsidRPr="001C388C">
        <w:br w:type="page"/>
      </w:r>
    </w:p>
    <w:p w14:paraId="7AE4D641" w14:textId="2C6B649A" w:rsidR="00334DF2" w:rsidRPr="00B03A96" w:rsidRDefault="00334DF2" w:rsidP="00A11C14">
      <w:pPr>
        <w:pStyle w:val="Heading1"/>
        <w:numPr>
          <w:ilvl w:val="0"/>
          <w:numId w:val="3"/>
        </w:numPr>
      </w:pPr>
      <w:bookmarkStart w:id="13" w:name="_2s8eyo1" w:colFirst="0" w:colLast="0"/>
      <w:bookmarkStart w:id="14" w:name="_Toc519758674"/>
      <w:bookmarkStart w:id="15" w:name="_Toc126582975"/>
      <w:bookmarkEnd w:id="13"/>
      <w:r w:rsidRPr="00B03A96">
        <w:lastRenderedPageBreak/>
        <w:t>Introduction</w:t>
      </w:r>
      <w:bookmarkEnd w:id="14"/>
      <w:bookmarkEnd w:id="15"/>
    </w:p>
    <w:p w14:paraId="39C34C1D" w14:textId="47194110" w:rsidR="001E0D64" w:rsidRDefault="00675762" w:rsidP="00761533">
      <w:pPr>
        <w:rPr>
          <w:rFonts w:cs="Arial"/>
          <w:szCs w:val="20"/>
        </w:rPr>
      </w:pPr>
      <w:bookmarkStart w:id="16" w:name="_3rdcrjn" w:colFirst="0" w:colLast="0"/>
      <w:bookmarkEnd w:id="16"/>
      <w:r w:rsidRPr="00014088">
        <w:rPr>
          <w:rFonts w:cs="Arial"/>
          <w:szCs w:val="20"/>
        </w:rPr>
        <w:t xml:space="preserve">Over the past two decades, social safety net programs </w:t>
      </w:r>
      <w:r w:rsidR="00AF3FA8">
        <w:rPr>
          <w:rFonts w:cs="Arial"/>
          <w:szCs w:val="20"/>
        </w:rPr>
        <w:t xml:space="preserve">that provide food or cash transfers to support household consumption </w:t>
      </w:r>
      <w:r w:rsidRPr="00014088">
        <w:rPr>
          <w:rFonts w:cs="Arial"/>
          <w:szCs w:val="20"/>
        </w:rPr>
        <w:t>have become a</w:t>
      </w:r>
      <w:r w:rsidR="0060500A" w:rsidRPr="00014088">
        <w:rPr>
          <w:rFonts w:cs="Arial"/>
          <w:szCs w:val="20"/>
        </w:rPr>
        <w:t>n important</w:t>
      </w:r>
      <w:r w:rsidRPr="00014088">
        <w:rPr>
          <w:rFonts w:cs="Arial"/>
          <w:szCs w:val="20"/>
        </w:rPr>
        <w:t xml:space="preserve"> policy tool </w:t>
      </w:r>
      <w:r w:rsidR="00104BD1">
        <w:rPr>
          <w:rFonts w:cs="Arial"/>
          <w:szCs w:val="20"/>
        </w:rPr>
        <w:t>to</w:t>
      </w:r>
      <w:r w:rsidR="006E0591" w:rsidRPr="00014088">
        <w:rPr>
          <w:rFonts w:cs="Arial"/>
          <w:szCs w:val="20"/>
        </w:rPr>
        <w:t xml:space="preserve"> </w:t>
      </w:r>
      <w:r w:rsidR="00F77B0A">
        <w:rPr>
          <w:rFonts w:cs="Arial"/>
          <w:szCs w:val="20"/>
        </w:rPr>
        <w:t xml:space="preserve">enhance </w:t>
      </w:r>
      <w:r w:rsidRPr="00014088">
        <w:rPr>
          <w:rFonts w:cs="Arial"/>
          <w:szCs w:val="20"/>
        </w:rPr>
        <w:t xml:space="preserve">food insecurity and </w:t>
      </w:r>
      <w:r w:rsidR="00F77B0A">
        <w:rPr>
          <w:rFonts w:cs="Arial"/>
          <w:szCs w:val="20"/>
        </w:rPr>
        <w:t xml:space="preserve">reduce </w:t>
      </w:r>
      <w:r w:rsidRPr="00014088">
        <w:rPr>
          <w:rFonts w:cs="Arial"/>
          <w:szCs w:val="20"/>
        </w:rPr>
        <w:t>extreme poverty</w:t>
      </w:r>
      <w:r w:rsidR="00104BD1">
        <w:rPr>
          <w:rFonts w:cs="Arial"/>
          <w:szCs w:val="20"/>
        </w:rPr>
        <w:t xml:space="preserve"> in </w:t>
      </w:r>
      <w:r w:rsidR="00104BD1" w:rsidRPr="00014088">
        <w:rPr>
          <w:rFonts w:cs="Arial"/>
          <w:szCs w:val="20"/>
        </w:rPr>
        <w:t>low- and middle-income countries</w:t>
      </w:r>
      <w:r w:rsidRPr="00014088">
        <w:rPr>
          <w:rFonts w:cs="Arial"/>
          <w:szCs w:val="20"/>
        </w:rPr>
        <w:t xml:space="preserve"> </w:t>
      </w:r>
      <w:r w:rsidR="003E36AC" w:rsidRPr="00014088">
        <w:rPr>
          <w:rFonts w:cs="Arial"/>
          <w:szCs w:val="20"/>
        </w:rPr>
        <w:fldChar w:fldCharType="begin">
          <w:fldData xml:space="preserve">PEVuZE5vdGU+PENpdGU+PEF1dGhvcj5Xb3JsZCBCYW5rPC9BdXRob3I+PFllYXI+MjAxODwvWWVh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=
</w:fldData>
        </w:fldChar>
      </w:r>
      <w:r w:rsidR="00241994">
        <w:rPr>
          <w:rFonts w:cs="Arial"/>
          <w:szCs w:val="20"/>
        </w:rPr>
        <w:instrText xml:space="preserve"> ADDIN EN.CITE </w:instrText>
      </w:r>
      <w:r w:rsidR="00241994">
        <w:rPr>
          <w:rFonts w:cs="Arial"/>
          <w:szCs w:val="20"/>
        </w:rPr>
        <w:fldChar w:fldCharType="begin">
          <w:fldData xml:space="preserve">PEVuZE5vdGU+PENpdGU+PEF1dGhvcj5Xb3JsZCBCYW5rPC9BdXRob3I+PFllYXI+MjAxODwvWWVh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=
</w:fldData>
        </w:fldChar>
      </w:r>
      <w:r w:rsidR="00241994">
        <w:rPr>
          <w:rFonts w:cs="Arial"/>
          <w:szCs w:val="20"/>
        </w:rPr>
        <w:instrText xml:space="preserve"> ADDIN EN.CITE.DATA </w:instrText>
      </w:r>
      <w:r w:rsidR="00241994">
        <w:rPr>
          <w:rFonts w:cs="Arial"/>
          <w:szCs w:val="20"/>
        </w:rPr>
      </w:r>
      <w:r w:rsidR="00241994">
        <w:rPr>
          <w:rFonts w:cs="Arial"/>
          <w:szCs w:val="20"/>
        </w:rPr>
        <w:fldChar w:fldCharType="end"/>
      </w:r>
      <w:r w:rsidR="003E36AC" w:rsidRPr="00014088">
        <w:rPr>
          <w:rFonts w:cs="Arial"/>
          <w:szCs w:val="20"/>
        </w:rPr>
      </w:r>
      <w:r w:rsidR="003E36AC" w:rsidRPr="00014088">
        <w:rPr>
          <w:rFonts w:cs="Arial"/>
          <w:szCs w:val="20"/>
        </w:rPr>
        <w:fldChar w:fldCharType="separate"/>
      </w:r>
      <w:r w:rsidR="00241994">
        <w:rPr>
          <w:rFonts w:cs="Arial"/>
          <w:noProof/>
          <w:szCs w:val="20"/>
        </w:rPr>
        <w:t>(Andrews et al., 2018; Beegle et al., 2018; Hidrobo et al., 2018; World Bank, 2018)</w:t>
      </w:r>
      <w:r w:rsidR="003E36AC" w:rsidRPr="00014088">
        <w:rPr>
          <w:rFonts w:cs="Arial"/>
          <w:szCs w:val="20"/>
        </w:rPr>
        <w:fldChar w:fldCharType="end"/>
      </w:r>
      <w:r w:rsidR="00F77B0A">
        <w:rPr>
          <w:rFonts w:cs="Arial"/>
          <w:szCs w:val="20"/>
        </w:rPr>
        <w:t xml:space="preserve">, but there is little evidence that these interventions can effectively reduce persistently high rates of child malnutrition </w:t>
      </w:r>
      <w:r w:rsidR="00241994" w:rsidRPr="00014088">
        <w:rPr>
          <w:rFonts w:cs="Arial"/>
          <w:szCs w:val="20"/>
        </w:rPr>
        <w:fldChar w:fldCharType="begin">
          <w:fldData xml:space="preserve">PEVuZE5vdGU+PENpdGU+PEF1dGhvcj5NYW5sZXk8L0F1dGhvcj48WWVhcj4yMDIyPC9ZZWFyPjxS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</w:fldData>
        </w:fldChar>
      </w:r>
      <w:r w:rsidR="00C60332">
        <w:rPr>
          <w:rFonts w:cs="Arial"/>
          <w:szCs w:val="20"/>
        </w:rPr>
        <w:instrText xml:space="preserve"> ADDIN EN.CITE </w:instrText>
      </w:r>
      <w:r w:rsidR="00C60332">
        <w:rPr>
          <w:rFonts w:cs="Arial"/>
          <w:szCs w:val="20"/>
        </w:rPr>
        <w:fldChar w:fldCharType="begin">
          <w:fldData xml:space="preserve">PEVuZE5vdGU+PENpdGU+PEF1dGhvcj5NYW5sZXk8L0F1dGhvcj48WWVhcj4yMDIyPC9ZZWFyPjxS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</w:fldData>
        </w:fldChar>
      </w:r>
      <w:r w:rsidR="00C60332">
        <w:rPr>
          <w:rFonts w:cs="Arial"/>
          <w:szCs w:val="20"/>
        </w:rPr>
        <w:instrText xml:space="preserve"> ADDIN EN.CITE.DATA </w:instrText>
      </w:r>
      <w:r w:rsidR="00C60332">
        <w:rPr>
          <w:rFonts w:cs="Arial"/>
          <w:szCs w:val="20"/>
        </w:rPr>
      </w:r>
      <w:r w:rsidR="00C60332">
        <w:rPr>
          <w:rFonts w:cs="Arial"/>
          <w:szCs w:val="20"/>
        </w:rPr>
        <w:fldChar w:fldCharType="end"/>
      </w:r>
      <w:r w:rsidR="00241994" w:rsidRPr="00014088">
        <w:rPr>
          <w:rFonts w:cs="Arial"/>
          <w:szCs w:val="20"/>
        </w:rPr>
      </w:r>
      <w:r w:rsidR="00241994" w:rsidRPr="00014088">
        <w:rPr>
          <w:rFonts w:cs="Arial"/>
          <w:szCs w:val="20"/>
        </w:rPr>
        <w:fldChar w:fldCharType="separate"/>
      </w:r>
      <w:r w:rsidR="00C60332">
        <w:rPr>
          <w:rFonts w:cs="Arial"/>
          <w:noProof/>
          <w:szCs w:val="20"/>
        </w:rPr>
        <w:t>(Manley et al., 2022; Manley et al., 2020)</w:t>
      </w:r>
      <w:r w:rsidR="00241994" w:rsidRPr="00014088">
        <w:rPr>
          <w:rFonts w:cs="Arial"/>
          <w:szCs w:val="20"/>
        </w:rPr>
        <w:fldChar w:fldCharType="end"/>
      </w:r>
      <w:r w:rsidR="00241994" w:rsidRPr="00014088">
        <w:rPr>
          <w:rFonts w:cs="Arial"/>
          <w:szCs w:val="20"/>
        </w:rPr>
        <w:t>.</w:t>
      </w:r>
      <w:r w:rsidR="00241994">
        <w:rPr>
          <w:rFonts w:cs="Arial"/>
          <w:szCs w:val="20"/>
        </w:rPr>
        <w:t xml:space="preserve"> </w:t>
      </w:r>
      <w:r w:rsidR="00F77B0A">
        <w:rPr>
          <w:rFonts w:cs="Arial"/>
          <w:szCs w:val="20"/>
        </w:rPr>
        <w:t>Similarly</w:t>
      </w:r>
      <w:r w:rsidR="00761533" w:rsidRPr="00014088">
        <w:rPr>
          <w:rFonts w:cs="Arial"/>
          <w:szCs w:val="20"/>
        </w:rPr>
        <w:t xml:space="preserve">, </w:t>
      </w:r>
      <w:r w:rsidR="00F50811" w:rsidRPr="00014088">
        <w:rPr>
          <w:rFonts w:cs="Arial"/>
          <w:szCs w:val="20"/>
        </w:rPr>
        <w:t xml:space="preserve">multifaceted “graduation model” interventions </w:t>
      </w:r>
      <w:r w:rsidR="008E33D8">
        <w:rPr>
          <w:rFonts w:cs="Arial"/>
          <w:szCs w:val="20"/>
        </w:rPr>
        <w:t xml:space="preserve">are </w:t>
      </w:r>
      <w:r w:rsidR="00965122" w:rsidRPr="00014088">
        <w:rPr>
          <w:rFonts w:cs="Arial"/>
          <w:szCs w:val="20"/>
        </w:rPr>
        <w:t xml:space="preserve">highly </w:t>
      </w:r>
      <w:r w:rsidR="00F50811" w:rsidRPr="00014088">
        <w:rPr>
          <w:rFonts w:cs="Arial"/>
          <w:szCs w:val="20"/>
        </w:rPr>
        <w:t>promising</w:t>
      </w:r>
      <w:r w:rsidR="00761533" w:rsidRPr="00014088">
        <w:rPr>
          <w:rFonts w:cs="Arial"/>
          <w:szCs w:val="20"/>
        </w:rPr>
        <w:t xml:space="preserve"> in terms of their </w:t>
      </w:r>
      <w:r w:rsidR="00F77B0A">
        <w:rPr>
          <w:rFonts w:cs="Arial"/>
          <w:szCs w:val="20"/>
        </w:rPr>
        <w:t xml:space="preserve">persistent </w:t>
      </w:r>
      <w:r w:rsidR="00761533" w:rsidRPr="00014088">
        <w:rPr>
          <w:rFonts w:cs="Arial"/>
          <w:szCs w:val="20"/>
        </w:rPr>
        <w:t>effects on poverty</w:t>
      </w:r>
      <w:r w:rsidR="0067343C">
        <w:rPr>
          <w:rFonts w:cs="Arial"/>
          <w:szCs w:val="20"/>
        </w:rPr>
        <w:t xml:space="preserve"> </w:t>
      </w:r>
      <w:r w:rsidR="00965122" w:rsidRPr="00014088">
        <w:rPr>
          <w:rFonts w:cs="Arial"/>
          <w:szCs w:val="20"/>
        </w:rPr>
        <w:fldChar w:fldCharType="begin">
          <w:fldData xml:space="preserve">PEVuZE5vdGU+PENpdGU+PEF1dGhvcj5CYW5lcmplZTwvQXV0aG9yPjxZZWFyPjIwMTU8L1llYXI+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==
</w:fldData>
        </w:fldChar>
      </w:r>
      <w:r w:rsidR="003E36AC" w:rsidRPr="00014088">
        <w:rPr>
          <w:rFonts w:cs="Arial"/>
          <w:szCs w:val="20"/>
        </w:rPr>
        <w:instrText xml:space="preserve"> ADDIN EN.CITE </w:instrText>
      </w:r>
      <w:r w:rsidR="003E36AC" w:rsidRPr="00014088">
        <w:rPr>
          <w:rFonts w:cs="Arial"/>
          <w:szCs w:val="20"/>
        </w:rPr>
        <w:fldChar w:fldCharType="begin">
          <w:fldData xml:space="preserve">PEVuZE5vdGU+PENpdGU+PEF1dGhvcj5CYW5lcmplZTwvQXV0aG9yPjxZZWFyPjIwMTU8L1llYXI+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==
</w:fldData>
        </w:fldChar>
      </w:r>
      <w:r w:rsidR="003E36AC" w:rsidRPr="00014088">
        <w:rPr>
          <w:rFonts w:cs="Arial"/>
          <w:szCs w:val="20"/>
        </w:rPr>
        <w:instrText xml:space="preserve"> ADDIN EN.CITE.DATA </w:instrText>
      </w:r>
      <w:r w:rsidR="003E36AC" w:rsidRPr="00014088">
        <w:rPr>
          <w:rFonts w:cs="Arial"/>
          <w:szCs w:val="20"/>
        </w:rPr>
      </w:r>
      <w:r w:rsidR="003E36AC" w:rsidRPr="00014088">
        <w:rPr>
          <w:rFonts w:cs="Arial"/>
          <w:szCs w:val="20"/>
        </w:rPr>
        <w:fldChar w:fldCharType="end"/>
      </w:r>
      <w:r w:rsidR="00965122" w:rsidRPr="00014088">
        <w:rPr>
          <w:rFonts w:cs="Arial"/>
          <w:szCs w:val="20"/>
        </w:rPr>
      </w:r>
      <w:r w:rsidR="00965122" w:rsidRPr="00014088">
        <w:rPr>
          <w:rFonts w:cs="Arial"/>
          <w:szCs w:val="20"/>
        </w:rPr>
        <w:fldChar w:fldCharType="separate"/>
      </w:r>
      <w:r w:rsidR="003E36AC" w:rsidRPr="00014088">
        <w:rPr>
          <w:rFonts w:cs="Arial"/>
          <w:noProof/>
          <w:szCs w:val="20"/>
        </w:rPr>
        <w:t>(Balboni et al., 2022; Bandiera et al., 2017; Banerjee et al., 2015; Banerjee et al., 2021; Banerjee et al., 2022; Bedoya et al., 2019; Bossuroy et al., 2022; Brune et al., 2022)</w:t>
      </w:r>
      <w:r w:rsidR="00965122" w:rsidRPr="00014088">
        <w:rPr>
          <w:rFonts w:cs="Arial"/>
          <w:szCs w:val="20"/>
        </w:rPr>
        <w:fldChar w:fldCharType="end"/>
      </w:r>
      <w:r w:rsidR="00AF3FA8">
        <w:rPr>
          <w:rFonts w:cs="Arial"/>
          <w:szCs w:val="20"/>
        </w:rPr>
        <w:t xml:space="preserve"> and thus</w:t>
      </w:r>
      <w:r w:rsidR="00977C26">
        <w:rPr>
          <w:rFonts w:cs="Arial"/>
          <w:szCs w:val="20"/>
        </w:rPr>
        <w:t xml:space="preserve"> can plausibly facilitate households’ exit from</w:t>
      </w:r>
      <w:r w:rsidR="00AF3FA8">
        <w:rPr>
          <w:rFonts w:cs="Arial"/>
          <w:szCs w:val="20"/>
        </w:rPr>
        <w:t xml:space="preserve"> long-term consumption support</w:t>
      </w:r>
      <w:r w:rsidR="008E33D8">
        <w:rPr>
          <w:rFonts w:cs="Arial"/>
          <w:szCs w:val="20"/>
        </w:rPr>
        <w:t>.</w:t>
      </w:r>
      <w:r w:rsidR="00F11178" w:rsidRPr="00014088">
        <w:rPr>
          <w:rFonts w:cs="Arial"/>
          <w:szCs w:val="20"/>
        </w:rPr>
        <w:t xml:space="preserve"> </w:t>
      </w:r>
      <w:r w:rsidR="008E33D8">
        <w:rPr>
          <w:rFonts w:cs="Arial"/>
          <w:szCs w:val="20"/>
        </w:rPr>
        <w:t xml:space="preserve">However, their high cost raises some questions about scalability, and </w:t>
      </w:r>
      <w:r w:rsidR="00072F9B">
        <w:rPr>
          <w:rFonts w:cs="Arial"/>
          <w:szCs w:val="20"/>
        </w:rPr>
        <w:t>their effects on child nutrition remain largely unknown</w:t>
      </w:r>
      <w:r w:rsidR="00F77B0A">
        <w:rPr>
          <w:rFonts w:cs="Arial"/>
          <w:szCs w:val="20"/>
        </w:rPr>
        <w:t>.</w:t>
      </w:r>
      <w:r w:rsidR="008151D6">
        <w:rPr>
          <w:rStyle w:val="FootnoteReference"/>
          <w:rFonts w:cs="Arial"/>
          <w:szCs w:val="20"/>
        </w:rPr>
        <w:footnoteReference w:id="1"/>
      </w:r>
      <w:r w:rsidR="00F77B0A">
        <w:rPr>
          <w:rFonts w:cs="Arial"/>
          <w:szCs w:val="20"/>
        </w:rPr>
        <w:t xml:space="preserve"> </w:t>
      </w:r>
    </w:p>
    <w:p w14:paraId="42350F27" w14:textId="18ACE215" w:rsidR="006E0591" w:rsidRDefault="00977C26" w:rsidP="00761533">
      <w:pPr>
        <w:rPr>
          <w:rFonts w:cs="Arial"/>
          <w:szCs w:val="20"/>
        </w:rPr>
      </w:pPr>
      <w:bookmarkStart w:id="17" w:name="_Hlk143517540"/>
      <w:r>
        <w:rPr>
          <w:rFonts w:cs="Arial"/>
          <w:szCs w:val="20"/>
        </w:rPr>
        <w:t xml:space="preserve">An absence of evidence around the effects of scalable antipoverty interventions on child malnutrition is troubling given that malnutrition remains </w:t>
      </w:r>
      <w:r w:rsidR="008E33D8">
        <w:rPr>
          <w:rFonts w:cs="Arial"/>
          <w:szCs w:val="20"/>
        </w:rPr>
        <w:t xml:space="preserve">a </w:t>
      </w:r>
      <w:r w:rsidR="00AF3FA8">
        <w:rPr>
          <w:rFonts w:cs="Arial"/>
          <w:szCs w:val="20"/>
        </w:rPr>
        <w:t xml:space="preserve">widespread </w:t>
      </w:r>
      <w:r w:rsidR="008E33D8">
        <w:rPr>
          <w:rFonts w:cs="Arial"/>
          <w:szCs w:val="20"/>
        </w:rPr>
        <w:t xml:space="preserve">and persistent challenge in </w:t>
      </w:r>
      <w:r w:rsidR="005B3855">
        <w:rPr>
          <w:rFonts w:cs="Arial"/>
          <w:szCs w:val="20"/>
        </w:rPr>
        <w:t xml:space="preserve">low- and middle-income countries. </w:t>
      </w:r>
      <w:r w:rsidR="00A017E9">
        <w:rPr>
          <w:rFonts w:cs="Arial"/>
          <w:szCs w:val="20"/>
        </w:rPr>
        <w:t>In 2021</w:t>
      </w:r>
      <w:r w:rsidR="005B3855">
        <w:rPr>
          <w:rFonts w:cs="Arial"/>
          <w:szCs w:val="20"/>
        </w:rPr>
        <w:t xml:space="preserve">, nearly 150 million children under </w:t>
      </w:r>
      <w:r w:rsidR="00851F75">
        <w:rPr>
          <w:rFonts w:cs="Arial"/>
          <w:szCs w:val="20"/>
        </w:rPr>
        <w:t>five</w:t>
      </w:r>
      <w:r w:rsidR="005B3855">
        <w:rPr>
          <w:rFonts w:cs="Arial"/>
          <w:szCs w:val="20"/>
        </w:rPr>
        <w:t xml:space="preserve"> years of age </w:t>
      </w:r>
      <w:r w:rsidR="00A017E9">
        <w:rPr>
          <w:rFonts w:cs="Arial"/>
          <w:szCs w:val="20"/>
        </w:rPr>
        <w:t>were</w:t>
      </w:r>
      <w:r w:rsidR="005B3855">
        <w:rPr>
          <w:rFonts w:cs="Arial"/>
          <w:szCs w:val="20"/>
        </w:rPr>
        <w:t xml:space="preserve"> estimated to suffer from c</w:t>
      </w:r>
      <w:r w:rsidR="005B3855" w:rsidRPr="003A27CF">
        <w:t xml:space="preserve">hronic </w:t>
      </w:r>
      <w:r w:rsidR="005B3855">
        <w:t xml:space="preserve">under-nutrition </w:t>
      </w:r>
      <w:r w:rsidR="005B3855">
        <w:fldChar w:fldCharType="begin"/>
      </w:r>
      <w:r w:rsidR="005B3855">
        <w:instrText xml:space="preserve"> ADDIN EN.CITE &lt;EndNote&gt;&lt;Cite&gt;&lt;Author&gt;FAO&lt;/Author&gt;&lt;Year&gt;2022&lt;/Year&gt;&lt;RecNum&gt;4155&lt;/RecNum&gt;&lt;DisplayText&gt;(FAO et al., 2022)&lt;/DisplayText&gt;&lt;record&gt;&lt;rec-number&gt;4155&lt;/rec-number&gt;&lt;foreign-keys&gt;&lt;key app="EN" db-id="9x0erf0zjf29fkerve3vt0te2rwzx959avzx" timestamp="1681755945"&gt;4155&lt;/key&gt;&lt;/foreign-keys&gt;&lt;ref-type name="Book"&gt;6&lt;/ref-type&gt;&lt;contributors&gt;&lt;authors&gt;&lt;author&gt;FAO&lt;/author&gt;&lt;author&gt;IFAD&lt;/author&gt;&lt;author&gt;UNICEF&lt;/author&gt;&lt;author&gt;WFP&lt;/author&gt;&lt;author&gt;WHO&lt;/author&gt;&lt;/authors&gt;&lt;/contributors&gt;&lt;titles&gt;&lt;title&gt;The State of Food Security and Nutrition in the World 2022: Repurposing food and agricultural policies to make healthy diets more affordable&lt;/title&gt;&lt;/titles&gt;&lt;dates&gt;&lt;year&gt;2022&lt;/year&gt;&lt;/dates&gt;&lt;pub-location&gt;Rome&lt;/pub-location&gt;&lt;publisher&gt;FAO, IFAD, UNICEF, WFP and WHO&lt;/publisher&gt;&lt;urls&gt;&lt;related-urls&gt;&lt;url&gt;https://www.fao.org/3/cc0639en/online/cc0639en.html&lt;/url&gt;&lt;/related-urls&gt;&lt;/urls&gt;&lt;/record&gt;&lt;/Cite&gt;&lt;/EndNote&gt;</w:instrText>
      </w:r>
      <w:r w:rsidR="005B3855">
        <w:fldChar w:fldCharType="separate"/>
      </w:r>
      <w:r w:rsidR="005B3855">
        <w:rPr>
          <w:noProof/>
        </w:rPr>
        <w:t>(FAO et al., 2022)</w:t>
      </w:r>
      <w:r w:rsidR="005B3855">
        <w:fldChar w:fldCharType="end"/>
      </w:r>
      <w:r w:rsidR="005B3855" w:rsidRPr="003A27CF">
        <w:t xml:space="preserve">. </w:t>
      </w:r>
      <w:r w:rsidR="00241994">
        <w:rPr>
          <w:rFonts w:cs="Arial"/>
          <w:szCs w:val="20"/>
        </w:rPr>
        <w:t>Adequate nutrition and good h</w:t>
      </w:r>
      <w:r w:rsidR="00241994">
        <w:t xml:space="preserve">ealth during infancy and early childhood form the foundation for lifelong wellbeing </w:t>
      </w:r>
      <w:r w:rsidR="00241994">
        <w:fldChar w:fldCharType="begin"/>
      </w:r>
      <w:r w:rsidR="00241994">
        <w:instrText xml:space="preserve"> ADDIN EN.CITE &lt;EndNote&gt;&lt;Cite&gt;&lt;Author&gt;Currie&lt;/Author&gt;&lt;Year&gt;2013&lt;/Year&gt;&lt;RecNum&gt;591&lt;/RecNum&gt;&lt;DisplayText&gt;(Currie and Vogl, 2013)&lt;/DisplayText&gt;&lt;record&gt;&lt;rec-number&gt;591&lt;/rec-number&gt;&lt;foreign-keys&gt;&lt;key app="EN" db-id="9x0erf0zjf29fkerve3vt0te2rwzx959avzx" timestamp="0"&gt;591&lt;/key&gt;&lt;/foreign-keys&gt;&lt;ref-type name="Journal Article"&gt;17&lt;/ref-type&gt;&lt;contributors&gt;&lt;authors&gt;&lt;author&gt;Currie, Janet&lt;/author&gt;&lt;author&gt;Vogl, Tom&lt;/author&gt;&lt;/authors&gt;&lt;/contributors&gt;&lt;titles&gt;&lt;title&gt;Early-Life Health and Adult Circumstance in Developing Countries&lt;/title&gt;&lt;secondary-title&gt;Annual Review of Economics&lt;/secondary-title&gt;&lt;/titles&gt;&lt;periodical&gt;&lt;full-title&gt;Annual Review of Economics&lt;/full-title&gt;&lt;/periodical&gt;&lt;pages&gt;1-36&lt;/pages&gt;&lt;volume&gt;5&lt;/volume&gt;&lt;dates&gt;&lt;year&gt;2013&lt;/year&gt;&lt;/dates&gt;&lt;urls&gt;&lt;/urls&gt;&lt;/record&gt;&lt;/Cite&gt;&lt;/EndNote&gt;</w:instrText>
      </w:r>
      <w:r w:rsidR="00241994">
        <w:fldChar w:fldCharType="separate"/>
      </w:r>
      <w:r w:rsidR="00241994">
        <w:rPr>
          <w:noProof/>
        </w:rPr>
        <w:t>(Currie and Vogl, 2013)</w:t>
      </w:r>
      <w:r w:rsidR="00241994">
        <w:fldChar w:fldCharType="end"/>
      </w:r>
      <w:r w:rsidR="00241994">
        <w:t xml:space="preserve"> and short-term nutritional deprivations during this period have been found to lower final educational attainment and </w:t>
      </w:r>
      <w:r w:rsidR="00241994" w:rsidRPr="00A017E9">
        <w:t xml:space="preserve">increase the risk of </w:t>
      </w:r>
      <w:r w:rsidR="00851F75">
        <w:t xml:space="preserve">poor health </w:t>
      </w:r>
      <w:r w:rsidR="00241994" w:rsidRPr="00A017E9">
        <w:t xml:space="preserve">and poverty in adulthood </w:t>
      </w:r>
      <w:r w:rsidR="00C60332" w:rsidRPr="00A017E9">
        <w:fldChar w:fldCharType="begin">
          <w:fldData xml:space="preserve">PEVuZE5vdGU+PENpdGU+PEF1dGhvcj5BbGRlcm1hbjwvQXV0aG9yPjxZZWFyPjIwMDY8L1llYXI+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</w:fldData>
        </w:fldChar>
      </w:r>
      <w:r w:rsidR="00C60332">
        <w:instrText xml:space="preserve"> ADDIN EN.CITE </w:instrText>
      </w:r>
      <w:r w:rsidR="00C60332">
        <w:fldChar w:fldCharType="begin">
          <w:fldData xml:space="preserve">PEVuZE5vdGU+PENpdGU+PEF1dGhvcj5BbGRlcm1hbjwvQXV0aG9yPjxZZWFyPjIwMDY8L1llYXI+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</w:fldData>
        </w:fldChar>
      </w:r>
      <w:r w:rsidR="00C60332">
        <w:instrText xml:space="preserve"> ADDIN EN.CITE.DATA </w:instrText>
      </w:r>
      <w:r w:rsidR="00C60332">
        <w:fldChar w:fldCharType="end"/>
      </w:r>
      <w:r w:rsidR="00C60332" w:rsidRPr="00A017E9">
        <w:fldChar w:fldCharType="separate"/>
      </w:r>
      <w:r w:rsidR="00C60332">
        <w:rPr>
          <w:noProof/>
        </w:rPr>
        <w:t>(Alderman et al., 2006; Dercon and Porter, 2014; Maccini and Yang, 2009; Maluccio, 2010)</w:t>
      </w:r>
      <w:r w:rsidR="00C60332" w:rsidRPr="00A017E9">
        <w:fldChar w:fldCharType="end"/>
      </w:r>
      <w:r w:rsidR="00C60332" w:rsidRPr="00A017E9">
        <w:t>.</w:t>
      </w:r>
      <w:r w:rsidR="00C60332">
        <w:rPr>
          <w:rFonts w:cs="Arial"/>
          <w:szCs w:val="20"/>
        </w:rPr>
        <w:t xml:space="preserve"> </w:t>
      </w:r>
      <w:r w:rsidR="001E0D64" w:rsidRPr="009812BD">
        <w:rPr>
          <w:rFonts w:cs="Arial"/>
          <w:szCs w:val="20"/>
        </w:rPr>
        <w:t>W</w:t>
      </w:r>
      <w:r w:rsidR="008E33D8" w:rsidRPr="009812BD">
        <w:rPr>
          <w:rFonts w:cs="Arial"/>
          <w:szCs w:val="20"/>
        </w:rPr>
        <w:t>hile some progress can be made via more nutrition-specific</w:t>
      </w:r>
      <w:r w:rsidR="00A017E9">
        <w:rPr>
          <w:rStyle w:val="FootnoteReference"/>
          <w:rFonts w:cs="Arial"/>
          <w:szCs w:val="20"/>
        </w:rPr>
        <w:footnoteReference w:id="2"/>
      </w:r>
      <w:r w:rsidR="00C60332">
        <w:rPr>
          <w:rFonts w:cs="Arial"/>
          <w:szCs w:val="20"/>
        </w:rPr>
        <w:t xml:space="preserve"> </w:t>
      </w:r>
      <w:r w:rsidR="00C60332" w:rsidRPr="009812BD">
        <w:rPr>
          <w:rFonts w:cs="Arial"/>
          <w:szCs w:val="20"/>
        </w:rPr>
        <w:t>interventions</w:t>
      </w:r>
      <w:r w:rsidR="008E33D8" w:rsidRPr="00A017E9">
        <w:rPr>
          <w:rFonts w:cs="Arial"/>
          <w:szCs w:val="20"/>
        </w:rPr>
        <w:t xml:space="preserve">, reducing malnutrition </w:t>
      </w:r>
      <w:r w:rsidR="008151D6" w:rsidRPr="00A017E9">
        <w:rPr>
          <w:rFonts w:cs="Arial"/>
          <w:szCs w:val="20"/>
        </w:rPr>
        <w:t>widely</w:t>
      </w:r>
      <w:r w:rsidR="008E33D8" w:rsidRPr="00A017E9">
        <w:rPr>
          <w:rFonts w:cs="Arial"/>
          <w:szCs w:val="20"/>
        </w:rPr>
        <w:t xml:space="preserve"> requires </w:t>
      </w:r>
      <w:r w:rsidR="008151D6" w:rsidRPr="00A017E9">
        <w:rPr>
          <w:rFonts w:cs="Arial"/>
          <w:szCs w:val="20"/>
        </w:rPr>
        <w:t>the incorporation of nutrition-sensitive dimensions into anti-poverty interventions</w:t>
      </w:r>
      <w:r w:rsidR="008E33D8" w:rsidRPr="00A017E9">
        <w:rPr>
          <w:rFonts w:cs="Arial"/>
          <w:szCs w:val="20"/>
        </w:rPr>
        <w:t xml:space="preserve"> </w:t>
      </w:r>
      <w:r w:rsidR="00965122" w:rsidRPr="00A017E9">
        <w:rPr>
          <w:rFonts w:cs="Arial"/>
          <w:szCs w:val="20"/>
        </w:rPr>
        <w:t>implemented at scale</w:t>
      </w:r>
      <w:r w:rsidR="00A017E9" w:rsidRPr="00A017E9">
        <w:rPr>
          <w:rFonts w:cs="Arial"/>
          <w:szCs w:val="20"/>
        </w:rPr>
        <w:t xml:space="preserve"> </w:t>
      </w:r>
      <w:r w:rsidR="00A017E9" w:rsidRPr="00A017E9">
        <w:rPr>
          <w:rFonts w:cs="Arial"/>
          <w:szCs w:val="20"/>
        </w:rPr>
        <w:fldChar w:fldCharType="begin"/>
      </w:r>
      <w:r w:rsidR="00A017E9" w:rsidRPr="00A017E9">
        <w:rPr>
          <w:rFonts w:cs="Arial"/>
          <w:szCs w:val="20"/>
        </w:rPr>
        <w:instrText xml:space="preserve"> ADDIN EN.CITE &lt;EndNote&gt;&lt;Cite&gt;&lt;Author&gt;Ruel&lt;/Author&gt;&lt;Year&gt;2013&lt;/Year&gt;&lt;RecNum&gt;1041&lt;/RecNum&gt;&lt;DisplayText&gt;(Ruel and Alderman, 2013)&lt;/DisplayText&gt;&lt;record&gt;&lt;rec-number&gt;1041&lt;/rec-number&gt;&lt;foreign-keys&gt;&lt;key app="EN" db-id="9x0erf0zjf29fkerve3vt0te2rwzx959avzx" timestamp="0"&gt;1041&lt;/key&gt;&lt;/foreign-keys&gt;&lt;ref-type name="Journal Article"&gt;17&lt;/ref-type&gt;&lt;contributors&gt;&lt;authors&gt;&lt;author&gt;Ruel, Marie T&lt;/author&gt;&lt;author&gt;Alderman, Harold&lt;/author&gt;&lt;/authors&gt;&lt;/contributors&gt;&lt;titles&gt;&lt;title&gt;Nutrition-sensitive interventions and programmes: how can they help to accelerate progress in improving maternal and child nutrition?&lt;/title&gt;&lt;secondary-title&gt;The Lancet&lt;/secondary-title&gt;&lt;/titles&gt;&lt;periodical&gt;&lt;full-title&gt;The Lancet&lt;/full-title&gt;&lt;/periodical&gt;&lt;pages&gt;536-551&lt;/pages&gt;&lt;volume&gt;382&lt;/volume&gt;&lt;number&gt;9891&lt;/number&gt;&lt;dates&gt;&lt;year&gt;2013&lt;/year&gt;&lt;/dates&gt;&lt;isbn&gt;0140-6736&lt;/isbn&gt;&lt;urls&gt;&lt;/urls&gt;&lt;/record&gt;&lt;/Cite&gt;&lt;/EndNote&gt;</w:instrText>
      </w:r>
      <w:r w:rsidR="00A017E9" w:rsidRPr="00A017E9">
        <w:rPr>
          <w:rFonts w:cs="Arial"/>
          <w:szCs w:val="20"/>
        </w:rPr>
        <w:fldChar w:fldCharType="separate"/>
      </w:r>
      <w:r w:rsidR="00A017E9" w:rsidRPr="00A017E9">
        <w:rPr>
          <w:rFonts w:cs="Arial"/>
          <w:noProof/>
          <w:szCs w:val="20"/>
        </w:rPr>
        <w:t>(Ruel and Alderman, 2013)</w:t>
      </w:r>
      <w:r w:rsidR="00A017E9" w:rsidRPr="00A017E9">
        <w:rPr>
          <w:rFonts w:cs="Arial"/>
          <w:szCs w:val="20"/>
        </w:rPr>
        <w:fldChar w:fldCharType="end"/>
      </w:r>
      <w:r w:rsidR="00BE0888" w:rsidRPr="00A017E9">
        <w:rPr>
          <w:rFonts w:cs="Arial"/>
          <w:szCs w:val="20"/>
        </w:rPr>
        <w:t>:</w:t>
      </w:r>
      <w:r w:rsidR="00CB00A9" w:rsidRPr="00A017E9">
        <w:rPr>
          <w:rFonts w:cs="Arial"/>
          <w:szCs w:val="20"/>
        </w:rPr>
        <w:t xml:space="preserve"> for example, </w:t>
      </w:r>
      <w:r w:rsidR="00965122" w:rsidRPr="00A017E9">
        <w:rPr>
          <w:rFonts w:cs="Arial"/>
          <w:szCs w:val="20"/>
        </w:rPr>
        <w:t>within existing government-led social protection programs.</w:t>
      </w:r>
      <w:r w:rsidR="00F77B0A" w:rsidRPr="00A017E9">
        <w:rPr>
          <w:rFonts w:cs="Arial"/>
          <w:szCs w:val="20"/>
        </w:rPr>
        <w:t xml:space="preserve"> </w:t>
      </w:r>
      <w:r w:rsidR="008151D6" w:rsidRPr="00A017E9">
        <w:rPr>
          <w:rFonts w:cs="Arial"/>
          <w:szCs w:val="20"/>
        </w:rPr>
        <w:t>Here, the evidence remains scant.</w:t>
      </w:r>
    </w:p>
    <w:bookmarkEnd w:id="17"/>
    <w:p w14:paraId="27E0EDEF" w14:textId="07068DC1" w:rsidR="009F6787" w:rsidRDefault="00B049BB" w:rsidP="009F6787">
      <w:pPr>
        <w:rPr>
          <w:rFonts w:cs="Arial"/>
          <w:szCs w:val="20"/>
        </w:rPr>
      </w:pPr>
      <w:r w:rsidRPr="0039648E">
        <w:rPr>
          <w:szCs w:val="20"/>
        </w:rPr>
        <w:t xml:space="preserve">We </w:t>
      </w:r>
      <w:r w:rsidR="008151D6">
        <w:rPr>
          <w:szCs w:val="20"/>
        </w:rPr>
        <w:t>seek to address this evidence gap</w:t>
      </w:r>
      <w:r w:rsidR="00C87DC6">
        <w:rPr>
          <w:szCs w:val="20"/>
        </w:rPr>
        <w:t xml:space="preserve"> by </w:t>
      </w:r>
      <w:r w:rsidRPr="0039648E">
        <w:rPr>
          <w:szCs w:val="20"/>
        </w:rPr>
        <w:t>conduct</w:t>
      </w:r>
      <w:r w:rsidR="00C87DC6">
        <w:rPr>
          <w:szCs w:val="20"/>
        </w:rPr>
        <w:t>ing</w:t>
      </w:r>
      <w:r w:rsidRPr="0039648E">
        <w:rPr>
          <w:szCs w:val="20"/>
        </w:rPr>
        <w:t xml:space="preserve"> a cluster randomized control</w:t>
      </w:r>
      <w:r>
        <w:rPr>
          <w:szCs w:val="20"/>
        </w:rPr>
        <w:t>led</w:t>
      </w:r>
      <w:r w:rsidRPr="0039648E">
        <w:rPr>
          <w:szCs w:val="20"/>
        </w:rPr>
        <w:t xml:space="preserve"> trial</w:t>
      </w:r>
      <w:r>
        <w:rPr>
          <w:szCs w:val="20"/>
        </w:rPr>
        <w:t xml:space="preserve"> (RCT)</w:t>
      </w:r>
      <w:r w:rsidRPr="0039648E">
        <w:rPr>
          <w:szCs w:val="20"/>
        </w:rPr>
        <w:t xml:space="preserve"> </w:t>
      </w:r>
      <w:r>
        <w:rPr>
          <w:szCs w:val="20"/>
        </w:rPr>
        <w:t xml:space="preserve">to assess </w:t>
      </w:r>
      <w:r w:rsidR="003C38C3">
        <w:rPr>
          <w:szCs w:val="20"/>
        </w:rPr>
        <w:t xml:space="preserve">the nutritional impacts of </w:t>
      </w:r>
      <w:r w:rsidRPr="0039648E">
        <w:rPr>
          <w:szCs w:val="20"/>
        </w:rPr>
        <w:t>a reduced graduation model intervention</w:t>
      </w:r>
      <w:r w:rsidR="003C38C3">
        <w:rPr>
          <w:szCs w:val="20"/>
        </w:rPr>
        <w:t xml:space="preserve"> embedded into Ethiopia’s flagship safety net program</w:t>
      </w:r>
      <w:r w:rsidR="002F1B63">
        <w:rPr>
          <w:szCs w:val="20"/>
        </w:rPr>
        <w:t>,</w:t>
      </w:r>
      <w:r w:rsidR="009F6787" w:rsidRPr="009F6787">
        <w:rPr>
          <w:rFonts w:cs="Arial"/>
          <w:szCs w:val="20"/>
        </w:rPr>
        <w:t xml:space="preserve"> </w:t>
      </w:r>
      <w:r w:rsidR="009F6787" w:rsidRPr="00014088">
        <w:rPr>
          <w:rFonts w:cs="Arial"/>
          <w:szCs w:val="20"/>
        </w:rPr>
        <w:t>the Productive Safety Net Program (PSNP)</w:t>
      </w:r>
      <w:r w:rsidR="009F6787">
        <w:rPr>
          <w:rFonts w:cs="Arial"/>
          <w:szCs w:val="20"/>
        </w:rPr>
        <w:t xml:space="preserve">. SPIR </w:t>
      </w:r>
      <w:r w:rsidR="009F6787" w:rsidRPr="00014088">
        <w:rPr>
          <w:rFonts w:cs="Arial"/>
          <w:szCs w:val="20"/>
        </w:rPr>
        <w:t>II is a reduced graduation model</w:t>
      </w:r>
      <w:r w:rsidR="009F6787">
        <w:rPr>
          <w:rFonts w:cs="Arial"/>
          <w:szCs w:val="20"/>
        </w:rPr>
        <w:t xml:space="preserve"> program</w:t>
      </w:r>
      <w:r w:rsidR="009F6787" w:rsidRPr="00014088">
        <w:rPr>
          <w:rFonts w:cs="Arial"/>
          <w:szCs w:val="20"/>
        </w:rPr>
        <w:t xml:space="preserve"> implemented in </w:t>
      </w:r>
      <w:r w:rsidR="00851F75">
        <w:rPr>
          <w:rFonts w:cs="Arial"/>
          <w:szCs w:val="20"/>
        </w:rPr>
        <w:t xml:space="preserve">the </w:t>
      </w:r>
      <w:r w:rsidR="009F6787" w:rsidRPr="00014088">
        <w:rPr>
          <w:rFonts w:cs="Arial"/>
          <w:szCs w:val="20"/>
        </w:rPr>
        <w:t xml:space="preserve">Amhara and Oromia regions </w:t>
      </w:r>
      <w:r w:rsidR="00851F75">
        <w:rPr>
          <w:rFonts w:cs="Arial"/>
          <w:szCs w:val="20"/>
        </w:rPr>
        <w:t xml:space="preserve">of Ethiopia </w:t>
      </w:r>
      <w:r w:rsidR="009F6787" w:rsidRPr="00014088">
        <w:rPr>
          <w:rFonts w:cs="Arial"/>
          <w:szCs w:val="20"/>
        </w:rPr>
        <w:t>that focuses on addressing the poor nutritional status and high rates of stunting among infants and young children.</w:t>
      </w:r>
      <w:r w:rsidR="009F6787" w:rsidRPr="00014088">
        <w:rPr>
          <w:rStyle w:val="FootnoteReference"/>
          <w:rFonts w:cs="Arial"/>
          <w:szCs w:val="20"/>
        </w:rPr>
        <w:footnoteReference w:id="3"/>
      </w:r>
      <w:r w:rsidR="009F6787">
        <w:rPr>
          <w:rFonts w:cs="Arial"/>
          <w:szCs w:val="20"/>
        </w:rPr>
        <w:t xml:space="preserve"> </w:t>
      </w:r>
      <w:r w:rsidR="009F6787" w:rsidRPr="00014088">
        <w:rPr>
          <w:rFonts w:cs="Arial"/>
          <w:szCs w:val="20"/>
        </w:rPr>
        <w:t>The SPIR II interventions target PSNP households and include both livelihoods and nutrition-focused components; however, the main objective of this trial is to evaluate a novel set of interventions specifically designed to target poor nutritional outcomes.</w:t>
      </w:r>
      <w:r w:rsidR="009F6787">
        <w:rPr>
          <w:rFonts w:cs="Arial"/>
          <w:szCs w:val="20"/>
        </w:rPr>
        <w:t xml:space="preserve"> </w:t>
      </w:r>
      <w:r w:rsidR="00BD021A" w:rsidRPr="00014088">
        <w:rPr>
          <w:rFonts w:cs="Arial"/>
          <w:szCs w:val="20"/>
        </w:rPr>
        <w:lastRenderedPageBreak/>
        <w:t>The</w:t>
      </w:r>
      <w:r w:rsidR="00BD021A">
        <w:rPr>
          <w:rFonts w:cs="Arial"/>
          <w:szCs w:val="20"/>
        </w:rPr>
        <w:t xml:space="preserve"> SPIR II nutrition interventions </w:t>
      </w:r>
      <w:r w:rsidR="00BD021A" w:rsidRPr="00014088">
        <w:rPr>
          <w:rFonts w:cs="Arial"/>
          <w:szCs w:val="20"/>
        </w:rPr>
        <w:t>center around the formation of nurturing care groups</w:t>
      </w:r>
      <w:r w:rsidR="00C62BB4">
        <w:rPr>
          <w:rFonts w:cs="Arial"/>
          <w:szCs w:val="20"/>
        </w:rPr>
        <w:t xml:space="preserve"> (NCGs)</w:t>
      </w:r>
      <w:r w:rsidR="00BD021A" w:rsidRPr="00014088">
        <w:rPr>
          <w:rFonts w:cs="Arial"/>
          <w:szCs w:val="20"/>
        </w:rPr>
        <w:t xml:space="preserve">, peer caregivers’ groups led by community-based trained volunteer agents; and the provision of monthly maternal grants of $20 over a period of 24 months </w:t>
      </w:r>
      <w:r w:rsidR="00BD021A">
        <w:rPr>
          <w:rFonts w:cs="Arial"/>
          <w:szCs w:val="20"/>
        </w:rPr>
        <w:t xml:space="preserve">in </w:t>
      </w:r>
      <w:r w:rsidR="00BD021A" w:rsidRPr="00014088">
        <w:rPr>
          <w:rFonts w:cs="Arial"/>
          <w:szCs w:val="20"/>
        </w:rPr>
        <w:t>infancy to a subset of households. All treated households also receive a bundled set of light-touch livelihoods interventions (including village savings groups and training), and households identified as scoring in the lowest 33 percent of a composite asset index at baseline will receive one-time $300 grants.</w:t>
      </w:r>
    </w:p>
    <w:p w14:paraId="7EA9235B" w14:textId="0ABDD772" w:rsidR="00BD021A" w:rsidRDefault="00C87DC6" w:rsidP="00BD021A">
      <w:pPr>
        <w:rPr>
          <w:rFonts w:cs="Arial"/>
          <w:szCs w:val="20"/>
        </w:rPr>
      </w:pPr>
      <w:r>
        <w:rPr>
          <w:rFonts w:cs="Arial"/>
          <w:szCs w:val="20"/>
        </w:rPr>
        <w:t>The</w:t>
      </w:r>
      <w:r w:rsidR="009F6787">
        <w:rPr>
          <w:rFonts w:cs="Arial"/>
          <w:szCs w:val="20"/>
        </w:rPr>
        <w:t xml:space="preserve"> </w:t>
      </w:r>
      <w:r w:rsidR="00BD021A">
        <w:rPr>
          <w:rFonts w:cs="Arial"/>
          <w:szCs w:val="20"/>
        </w:rPr>
        <w:t xml:space="preserve">cluster </w:t>
      </w:r>
      <w:r w:rsidR="009F6787">
        <w:rPr>
          <w:rFonts w:cs="Arial"/>
          <w:szCs w:val="20"/>
        </w:rPr>
        <w:t>RCT has three study arms</w:t>
      </w:r>
      <w:r>
        <w:rPr>
          <w:rFonts w:cs="Arial"/>
          <w:szCs w:val="20"/>
        </w:rPr>
        <w:t xml:space="preserve"> in which a</w:t>
      </w:r>
      <w:r w:rsidR="00BD021A">
        <w:rPr>
          <w:rFonts w:cs="Arial"/>
          <w:szCs w:val="20"/>
        </w:rPr>
        <w:t xml:space="preserve">ll participating households benefit from the PSNP. </w:t>
      </w:r>
      <w:r w:rsidR="009F6787">
        <w:rPr>
          <w:rFonts w:cs="Arial"/>
          <w:szCs w:val="20"/>
        </w:rPr>
        <w:t>The first study arm serves as a control group</w:t>
      </w:r>
      <w:r w:rsidR="00BD021A">
        <w:rPr>
          <w:rFonts w:cs="Arial"/>
          <w:szCs w:val="20"/>
        </w:rPr>
        <w:t xml:space="preserve"> and is</w:t>
      </w:r>
      <w:r w:rsidR="009F6787">
        <w:rPr>
          <w:rFonts w:cs="Arial"/>
          <w:szCs w:val="20"/>
        </w:rPr>
        <w:t xml:space="preserve"> </w:t>
      </w:r>
      <w:r w:rsidR="00BD021A">
        <w:rPr>
          <w:rFonts w:cs="Arial"/>
          <w:szCs w:val="20"/>
        </w:rPr>
        <w:t>formed of PSNP</w:t>
      </w:r>
      <w:r w:rsidR="009F6787">
        <w:rPr>
          <w:rFonts w:cs="Arial"/>
          <w:szCs w:val="20"/>
        </w:rPr>
        <w:t xml:space="preserve"> </w:t>
      </w:r>
      <w:r w:rsidR="001D6246">
        <w:rPr>
          <w:rFonts w:cs="Arial"/>
          <w:szCs w:val="20"/>
        </w:rPr>
        <w:t xml:space="preserve">households </w:t>
      </w:r>
      <w:r w:rsidR="00BD021A">
        <w:rPr>
          <w:rFonts w:cs="Arial"/>
          <w:szCs w:val="20"/>
        </w:rPr>
        <w:t>that will not receive additional SPIR programming. PSNP households in the second study arm receive SPIR graduation programming that includes b</w:t>
      </w:r>
      <w:r w:rsidR="00BD021A" w:rsidRPr="00014088">
        <w:rPr>
          <w:rFonts w:cs="Arial"/>
          <w:szCs w:val="20"/>
        </w:rPr>
        <w:t xml:space="preserve">oth </w:t>
      </w:r>
      <w:proofErr w:type="gramStart"/>
      <w:r w:rsidR="00BD021A" w:rsidRPr="00014088">
        <w:rPr>
          <w:rFonts w:cs="Arial"/>
          <w:szCs w:val="20"/>
        </w:rPr>
        <w:t>livelihoods</w:t>
      </w:r>
      <w:proofErr w:type="gramEnd"/>
      <w:r w:rsidR="001D6246">
        <w:rPr>
          <w:rFonts w:cs="Arial"/>
          <w:szCs w:val="20"/>
        </w:rPr>
        <w:t xml:space="preserve"> components (as described above)</w:t>
      </w:r>
      <w:r w:rsidR="00BD021A" w:rsidRPr="00014088">
        <w:rPr>
          <w:rFonts w:cs="Arial"/>
          <w:szCs w:val="20"/>
        </w:rPr>
        <w:t xml:space="preserve"> </w:t>
      </w:r>
      <w:r w:rsidR="001D6246">
        <w:rPr>
          <w:rFonts w:cs="Arial"/>
          <w:szCs w:val="20"/>
        </w:rPr>
        <w:t>and the nurturing care groups</w:t>
      </w:r>
      <w:r w:rsidR="00BD021A">
        <w:rPr>
          <w:rFonts w:cs="Arial"/>
          <w:szCs w:val="20"/>
        </w:rPr>
        <w:t xml:space="preserve">. PSNP households in the third study arm receive the same set of interventions as the second </w:t>
      </w:r>
      <w:r w:rsidR="001D6246">
        <w:rPr>
          <w:rFonts w:cs="Arial"/>
          <w:szCs w:val="20"/>
        </w:rPr>
        <w:t xml:space="preserve">arm, </w:t>
      </w:r>
      <w:r w:rsidR="00BD021A">
        <w:rPr>
          <w:rFonts w:cs="Arial"/>
          <w:szCs w:val="20"/>
        </w:rPr>
        <w:t>but in addition receive the monthly maternal grants.</w:t>
      </w:r>
    </w:p>
    <w:p w14:paraId="3E50746E" w14:textId="030424ED" w:rsidR="00D40BC8" w:rsidRDefault="0058106B" w:rsidP="00C55437">
      <w:pPr>
        <w:rPr>
          <w:rFonts w:cs="Arial"/>
          <w:szCs w:val="20"/>
        </w:rPr>
      </w:pPr>
      <w:r>
        <w:rPr>
          <w:rFonts w:cs="Arial"/>
          <w:szCs w:val="20"/>
        </w:rPr>
        <w:t>T</w:t>
      </w:r>
      <w:r w:rsidR="001D6246" w:rsidRPr="00014088">
        <w:rPr>
          <w:rFonts w:cs="Arial"/>
          <w:szCs w:val="20"/>
        </w:rPr>
        <w:t>he study design focuses on</w:t>
      </w:r>
      <w:r w:rsidR="001D6246">
        <w:rPr>
          <w:rFonts w:cs="Arial"/>
          <w:szCs w:val="20"/>
        </w:rPr>
        <w:t xml:space="preserve"> early childhood nutritional outcomes </w:t>
      </w:r>
      <w:r w:rsidR="001D6246" w:rsidRPr="00014088">
        <w:rPr>
          <w:rFonts w:cs="Arial"/>
          <w:szCs w:val="20"/>
        </w:rPr>
        <w:t xml:space="preserve">and </w:t>
      </w:r>
      <w:r w:rsidR="001D6246">
        <w:rPr>
          <w:rFonts w:cs="Arial"/>
          <w:szCs w:val="20"/>
        </w:rPr>
        <w:t>is</w:t>
      </w:r>
      <w:r w:rsidR="001D6246" w:rsidRPr="00014088">
        <w:rPr>
          <w:rFonts w:cs="Arial"/>
          <w:szCs w:val="20"/>
        </w:rPr>
        <w:t xml:space="preserve"> optimized to capture the effects of targeted nutrition interventions at key points in the early childhood growth trajectory.</w:t>
      </w:r>
      <w:r w:rsidR="001D6246">
        <w:rPr>
          <w:rFonts w:cs="Arial"/>
          <w:szCs w:val="20"/>
        </w:rPr>
        <w:t xml:space="preserve"> </w:t>
      </w:r>
      <w:bookmarkStart w:id="18" w:name="_Hlk126578415"/>
      <w:r w:rsidR="005F05F4" w:rsidRPr="00014088">
        <w:rPr>
          <w:rFonts w:cs="Arial"/>
          <w:szCs w:val="20"/>
        </w:rPr>
        <w:t>We hypothesize that the</w:t>
      </w:r>
      <w:r w:rsidR="00D40BC8" w:rsidRPr="00014088">
        <w:rPr>
          <w:rFonts w:cs="Arial"/>
          <w:szCs w:val="20"/>
        </w:rPr>
        <w:t xml:space="preserve"> </w:t>
      </w:r>
      <w:r w:rsidR="007D4932" w:rsidRPr="00014088">
        <w:rPr>
          <w:rFonts w:cs="Arial"/>
          <w:szCs w:val="20"/>
        </w:rPr>
        <w:t>SPIR</w:t>
      </w:r>
      <w:r w:rsidR="00D40BC8" w:rsidRPr="00014088">
        <w:rPr>
          <w:rFonts w:cs="Arial"/>
          <w:szCs w:val="20"/>
        </w:rPr>
        <w:t xml:space="preserve"> intervention</w:t>
      </w:r>
      <w:r w:rsidR="007D4932" w:rsidRPr="00014088">
        <w:rPr>
          <w:rFonts w:cs="Arial"/>
          <w:szCs w:val="20"/>
        </w:rPr>
        <w:t>s</w:t>
      </w:r>
      <w:r w:rsidR="002460F8" w:rsidRPr="00014088">
        <w:rPr>
          <w:rFonts w:cs="Arial"/>
          <w:szCs w:val="20"/>
        </w:rPr>
        <w:t xml:space="preserve"> will</w:t>
      </w:r>
      <w:r w:rsidR="00D40BC8" w:rsidRPr="00014088">
        <w:rPr>
          <w:rFonts w:cs="Arial"/>
          <w:szCs w:val="20"/>
        </w:rPr>
        <w:t xml:space="preserve"> </w:t>
      </w:r>
      <w:r w:rsidR="005F05F4" w:rsidRPr="00014088">
        <w:rPr>
          <w:rFonts w:cs="Arial"/>
          <w:szCs w:val="20"/>
        </w:rPr>
        <w:t xml:space="preserve">improve </w:t>
      </w:r>
      <w:r w:rsidR="00D40BC8" w:rsidRPr="00014088">
        <w:rPr>
          <w:rFonts w:cs="Arial"/>
          <w:szCs w:val="20"/>
        </w:rPr>
        <w:t>infant and young child feeding practices</w:t>
      </w:r>
      <w:r w:rsidR="005F05F4" w:rsidRPr="00014088">
        <w:rPr>
          <w:rFonts w:cs="Arial"/>
          <w:szCs w:val="20"/>
        </w:rPr>
        <w:t>, prevent</w:t>
      </w:r>
      <w:r w:rsidR="0097614C">
        <w:rPr>
          <w:rFonts w:cs="Arial"/>
          <w:szCs w:val="20"/>
        </w:rPr>
        <w:t xml:space="preserve"> </w:t>
      </w:r>
      <w:r w:rsidR="00D40BC8" w:rsidRPr="00014088">
        <w:rPr>
          <w:rFonts w:cs="Arial"/>
          <w:szCs w:val="20"/>
        </w:rPr>
        <w:t xml:space="preserve">child </w:t>
      </w:r>
      <w:r w:rsidR="005F05F4" w:rsidRPr="00014088">
        <w:rPr>
          <w:rFonts w:cs="Arial"/>
          <w:szCs w:val="20"/>
        </w:rPr>
        <w:t>growth faltering in the first 1,000 days</w:t>
      </w:r>
      <w:r w:rsidR="00E631D8" w:rsidRPr="00014088">
        <w:rPr>
          <w:rFonts w:cs="Arial"/>
          <w:szCs w:val="20"/>
        </w:rPr>
        <w:t xml:space="preserve"> (i.e., the period between conception and the child’s </w:t>
      </w:r>
      <w:r w:rsidR="0097614C">
        <w:rPr>
          <w:rFonts w:cs="Arial"/>
          <w:szCs w:val="20"/>
        </w:rPr>
        <w:t>second</w:t>
      </w:r>
      <w:r w:rsidR="00E631D8" w:rsidRPr="00014088">
        <w:rPr>
          <w:rFonts w:cs="Arial"/>
          <w:szCs w:val="20"/>
        </w:rPr>
        <w:t xml:space="preserve"> birthday)</w:t>
      </w:r>
      <w:r w:rsidR="00A67B39" w:rsidRPr="00014088">
        <w:rPr>
          <w:rFonts w:cs="Arial"/>
          <w:szCs w:val="20"/>
        </w:rPr>
        <w:t xml:space="preserve">, and enhance </w:t>
      </w:r>
      <w:r w:rsidR="002460F8" w:rsidRPr="00014088">
        <w:rPr>
          <w:rFonts w:cs="Arial"/>
          <w:szCs w:val="20"/>
        </w:rPr>
        <w:t xml:space="preserve">a specific set of </w:t>
      </w:r>
      <w:r w:rsidR="00A67B39" w:rsidRPr="00014088">
        <w:rPr>
          <w:rFonts w:cs="Arial"/>
          <w:szCs w:val="20"/>
        </w:rPr>
        <w:t>livelihood outcomes</w:t>
      </w:r>
      <w:bookmarkStart w:id="19" w:name="_Hlk126578453"/>
      <w:bookmarkEnd w:id="18"/>
      <w:r w:rsidR="00C62BB4" w:rsidRPr="00014088">
        <w:rPr>
          <w:rFonts w:cs="Arial"/>
          <w:szCs w:val="20"/>
        </w:rPr>
        <w:t>.</w:t>
      </w:r>
      <w:r w:rsidR="00C62BB4">
        <w:rPr>
          <w:rFonts w:cs="Arial"/>
          <w:szCs w:val="20"/>
        </w:rPr>
        <w:t xml:space="preserve"> </w:t>
      </w:r>
      <w:r w:rsidR="001D6246">
        <w:rPr>
          <w:rFonts w:cs="Arial"/>
          <w:szCs w:val="20"/>
        </w:rPr>
        <w:t>The experimental design allows us to assess</w:t>
      </w:r>
      <w:r w:rsidR="00CB00A9" w:rsidRPr="00014088">
        <w:rPr>
          <w:rFonts w:cs="Arial"/>
          <w:szCs w:val="20"/>
        </w:rPr>
        <w:t xml:space="preserve"> the impact of </w:t>
      </w:r>
      <w:r w:rsidR="0097614C">
        <w:rPr>
          <w:rFonts w:cs="Arial"/>
          <w:szCs w:val="20"/>
        </w:rPr>
        <w:t>SPIR (inclusive of nurturing care groups)</w:t>
      </w:r>
      <w:r w:rsidR="00CB00A9" w:rsidRPr="00014088">
        <w:rPr>
          <w:rFonts w:cs="Arial"/>
          <w:szCs w:val="20"/>
        </w:rPr>
        <w:t xml:space="preserve"> on infant and child feeding and anthropometric outcomes</w:t>
      </w:r>
      <w:r w:rsidR="00104BD1">
        <w:rPr>
          <w:rFonts w:cs="Arial"/>
          <w:szCs w:val="20"/>
        </w:rPr>
        <w:t>,</w:t>
      </w:r>
      <w:r w:rsidR="00CB00A9" w:rsidRPr="00014088">
        <w:rPr>
          <w:rFonts w:cs="Arial"/>
          <w:szCs w:val="20"/>
        </w:rPr>
        <w:t xml:space="preserve"> and </w:t>
      </w:r>
      <w:r w:rsidR="00CB00A9" w:rsidRPr="00104BD1">
        <w:rPr>
          <w:rFonts w:cs="Arial"/>
          <w:szCs w:val="20"/>
        </w:rPr>
        <w:t xml:space="preserve">further </w:t>
      </w:r>
      <w:r w:rsidR="005F05F4" w:rsidRPr="00104BD1">
        <w:rPr>
          <w:rFonts w:cs="Arial"/>
          <w:szCs w:val="20"/>
        </w:rPr>
        <w:t xml:space="preserve">test the role of </w:t>
      </w:r>
      <w:r w:rsidR="00104BD1" w:rsidRPr="00104BD1">
        <w:rPr>
          <w:rFonts w:cs="Arial"/>
          <w:szCs w:val="20"/>
        </w:rPr>
        <w:t xml:space="preserve">monthly </w:t>
      </w:r>
      <w:r w:rsidR="00104BD1" w:rsidRPr="007133B5">
        <w:rPr>
          <w:rFonts w:cs="Arial"/>
          <w:szCs w:val="20"/>
        </w:rPr>
        <w:t xml:space="preserve">cash transfers </w:t>
      </w:r>
      <w:r w:rsidR="005F05F4" w:rsidRPr="007133B5">
        <w:rPr>
          <w:rFonts w:cs="Arial"/>
          <w:szCs w:val="20"/>
        </w:rPr>
        <w:t xml:space="preserve">in </w:t>
      </w:r>
      <w:r w:rsidR="00104BD1" w:rsidRPr="007133B5">
        <w:rPr>
          <w:rFonts w:cs="Arial"/>
          <w:szCs w:val="20"/>
        </w:rPr>
        <w:t>targeting liquidity constraints that may constrain households in improving child nutrition outcomes</w:t>
      </w:r>
      <w:r w:rsidR="00D40BC8" w:rsidRPr="00104BD1">
        <w:rPr>
          <w:rFonts w:cs="Arial"/>
          <w:szCs w:val="20"/>
        </w:rPr>
        <w:t>.</w:t>
      </w:r>
      <w:r w:rsidR="00096779" w:rsidRPr="00104BD1">
        <w:rPr>
          <w:rFonts w:cs="Arial"/>
          <w:szCs w:val="20"/>
        </w:rPr>
        <w:t xml:space="preserve"> A</w:t>
      </w:r>
      <w:r w:rsidR="002460F8" w:rsidRPr="00104BD1">
        <w:rPr>
          <w:rFonts w:cs="Arial"/>
          <w:szCs w:val="20"/>
        </w:rPr>
        <w:t xml:space="preserve">t the same time, </w:t>
      </w:r>
      <w:r w:rsidR="00414CFB" w:rsidRPr="00104BD1">
        <w:rPr>
          <w:rFonts w:cs="Arial"/>
          <w:szCs w:val="20"/>
        </w:rPr>
        <w:t>we will evaluate the</w:t>
      </w:r>
      <w:r w:rsidR="002C24D3" w:rsidRPr="00104BD1">
        <w:rPr>
          <w:rFonts w:cs="Arial"/>
          <w:szCs w:val="20"/>
        </w:rPr>
        <w:t xml:space="preserve"> effect of the bundled livelihood interventions </w:t>
      </w:r>
      <w:r w:rsidR="002460F8" w:rsidRPr="00104BD1">
        <w:rPr>
          <w:rFonts w:cs="Arial"/>
          <w:szCs w:val="20"/>
        </w:rPr>
        <w:t xml:space="preserve">(provided in both treatment arms) </w:t>
      </w:r>
      <w:r w:rsidR="002C24D3" w:rsidRPr="00104BD1">
        <w:rPr>
          <w:rFonts w:cs="Arial"/>
          <w:szCs w:val="20"/>
        </w:rPr>
        <w:t>on targeted outcomes of interest</w:t>
      </w:r>
      <w:r w:rsidR="002460F8" w:rsidRPr="00104BD1">
        <w:rPr>
          <w:rFonts w:cs="Arial"/>
          <w:szCs w:val="20"/>
        </w:rPr>
        <w:t xml:space="preserve">, </w:t>
      </w:r>
      <w:r w:rsidR="002C24D3" w:rsidRPr="00104BD1">
        <w:rPr>
          <w:rFonts w:cs="Arial"/>
          <w:szCs w:val="20"/>
        </w:rPr>
        <w:t xml:space="preserve">particularly </w:t>
      </w:r>
      <w:r w:rsidR="00A74E35" w:rsidRPr="00104BD1">
        <w:rPr>
          <w:rFonts w:cs="Arial"/>
          <w:szCs w:val="20"/>
        </w:rPr>
        <w:t xml:space="preserve">consumption </w:t>
      </w:r>
      <w:r w:rsidR="00BE0888" w:rsidRPr="00104BD1">
        <w:rPr>
          <w:rFonts w:cs="Arial"/>
          <w:szCs w:val="20"/>
        </w:rPr>
        <w:t>and savings</w:t>
      </w:r>
      <w:r w:rsidR="002C24D3" w:rsidRPr="00014088">
        <w:rPr>
          <w:rFonts w:cs="Arial"/>
          <w:szCs w:val="20"/>
        </w:rPr>
        <w:t xml:space="preserve">. </w:t>
      </w:r>
    </w:p>
    <w:bookmarkEnd w:id="19"/>
    <w:p w14:paraId="1F086181" w14:textId="78131A84" w:rsidR="001D6246" w:rsidRDefault="002460F8" w:rsidP="00C55437">
      <w:pPr>
        <w:rPr>
          <w:rFonts w:eastAsiaTheme="minorHAnsi" w:cs="Arial"/>
          <w:szCs w:val="20"/>
        </w:rPr>
      </w:pPr>
      <w:r w:rsidRPr="00014088">
        <w:rPr>
          <w:rFonts w:cs="Arial"/>
          <w:szCs w:val="20"/>
        </w:rPr>
        <w:t xml:space="preserve">This trial </w:t>
      </w:r>
      <w:r w:rsidR="00AF787C">
        <w:rPr>
          <w:rFonts w:cs="Arial"/>
          <w:szCs w:val="20"/>
        </w:rPr>
        <w:t>adds</w:t>
      </w:r>
      <w:r w:rsidR="00472A43" w:rsidRPr="00014088">
        <w:rPr>
          <w:rFonts w:cs="Arial"/>
          <w:szCs w:val="20"/>
        </w:rPr>
        <w:t xml:space="preserve"> to </w:t>
      </w:r>
      <w:r w:rsidR="00917C90">
        <w:rPr>
          <w:rFonts w:cs="Arial"/>
          <w:szCs w:val="20"/>
        </w:rPr>
        <w:t xml:space="preserve">a growing literature analyzing the </w:t>
      </w:r>
      <w:r w:rsidR="00917C90" w:rsidRPr="00917C90">
        <w:rPr>
          <w:rFonts w:cs="Arial"/>
          <w:szCs w:val="20"/>
        </w:rPr>
        <w:t>effects of nutrition-sensitive graduation model interventions and cash transfer</w:t>
      </w:r>
      <w:r w:rsidR="00C62BB4">
        <w:rPr>
          <w:rFonts w:cs="Arial"/>
          <w:szCs w:val="20"/>
        </w:rPr>
        <w:t xml:space="preserve"> program</w:t>
      </w:r>
      <w:r w:rsidR="00917C90" w:rsidRPr="00917C90">
        <w:rPr>
          <w:rFonts w:cs="Arial"/>
          <w:szCs w:val="20"/>
        </w:rPr>
        <w:t>s in developing countries</w:t>
      </w:r>
      <w:r w:rsidR="00472A43" w:rsidRPr="00917C90">
        <w:rPr>
          <w:rFonts w:cs="Arial"/>
          <w:szCs w:val="20"/>
        </w:rPr>
        <w:t xml:space="preserve">. </w:t>
      </w:r>
      <w:r w:rsidR="001D6246">
        <w:rPr>
          <w:rFonts w:cs="Arial"/>
          <w:szCs w:val="20"/>
        </w:rPr>
        <w:t>T</w:t>
      </w:r>
      <w:r w:rsidR="009011AB" w:rsidRPr="00917C90">
        <w:rPr>
          <w:rFonts w:cs="Arial"/>
          <w:szCs w:val="20"/>
        </w:rPr>
        <w:t xml:space="preserve">ogether with the recent pre-registered cluster-RCT by </w:t>
      </w:r>
      <w:r w:rsidR="009011AB" w:rsidRPr="00917C90">
        <w:rPr>
          <w:rFonts w:cs="Arial"/>
          <w:szCs w:val="20"/>
        </w:rPr>
        <w:fldChar w:fldCharType="begin"/>
      </w:r>
      <w:r w:rsidR="00276EF8">
        <w:rPr>
          <w:rFonts w:cs="Arial"/>
          <w:szCs w:val="20"/>
        </w:rPr>
        <w:instrText xml:space="preserve"> ADDIN EN.CITE &lt;EndNote&gt;&lt;Cite AuthorYear="1"&gt;&lt;Author&gt;Bouguen&lt;/Author&gt;&lt;Year&gt;2019&lt;/Year&gt;&lt;RecNum&gt;4077&lt;/RecNum&gt;&lt;DisplayText&gt;Bouguen and Dillon (2019)&lt;/DisplayText&gt;&lt;record&gt;&lt;rec-number&gt;4077&lt;/rec-number&gt;&lt;foreign-keys&gt;&lt;key app="EN" db-id="9x0erf0zjf29fkerve3vt0te2rwzx959avzx" timestamp="1670237977"&gt;4077&lt;/key&gt;&lt;/foreign-keys&gt;&lt;ref-type name="Journal Article"&gt;17&lt;/ref-type&gt;&lt;contributors&gt;&lt;authors&gt;&lt;author&gt;Bouguen, Adrien&lt;/author&gt;&lt;author&gt;Dillon, Andrew&lt;/author&gt;&lt;/authors&gt;&lt;/contributors&gt;&lt;titles&gt;&lt;title&gt;The impact of a multidimensional program on nutrition and poverty in Burkina Faso&lt;/title&gt;&lt;secondary-title&gt;Journal of Development Economics&lt;/secondary-title&gt;&lt;/titles&gt;&lt;periodical&gt;&lt;full-title&gt;Journal of Development Economics&lt;/full-title&gt;&lt;/periodical&gt;&lt;volume&gt; Pre-results review&lt;/volume&gt;&lt;dates&gt;&lt;year&gt;2019&lt;/year&gt;&lt;/dates&gt;&lt;urls&gt;&lt;related-urls&gt;&lt;url&gt;http://jde-preresultsreview.org/#prospectivearticles&lt;/url&gt;&lt;/related-urls&gt;&lt;/urls&gt;&lt;electronic-resource-num&gt;http://jde-preresultsreview.org/#prospectivearticles&lt;/electronic-resource-num&gt;&lt;/record&gt;&lt;/Cite&gt;&lt;/EndNote&gt;</w:instrText>
      </w:r>
      <w:r w:rsidR="009011AB" w:rsidRPr="00917C90">
        <w:rPr>
          <w:rFonts w:cs="Arial"/>
          <w:szCs w:val="20"/>
        </w:rPr>
        <w:fldChar w:fldCharType="separate"/>
      </w:r>
      <w:r w:rsidR="008517EE">
        <w:rPr>
          <w:rFonts w:cs="Arial"/>
          <w:noProof/>
          <w:szCs w:val="20"/>
        </w:rPr>
        <w:t>Bouguen and Dillon (2019)</w:t>
      </w:r>
      <w:r w:rsidR="009011AB" w:rsidRPr="00917C90">
        <w:rPr>
          <w:rFonts w:cs="Arial"/>
          <w:szCs w:val="20"/>
        </w:rPr>
        <w:fldChar w:fldCharType="end"/>
      </w:r>
      <w:r w:rsidR="009011AB" w:rsidRPr="00917C90">
        <w:rPr>
          <w:rStyle w:val="FootnoteReference"/>
          <w:rFonts w:cs="Arial"/>
          <w:szCs w:val="20"/>
        </w:rPr>
        <w:footnoteReference w:id="4"/>
      </w:r>
      <w:r w:rsidR="009011AB" w:rsidRPr="00917C90">
        <w:rPr>
          <w:rFonts w:cs="Arial"/>
          <w:szCs w:val="20"/>
        </w:rPr>
        <w:t>, our study</w:t>
      </w:r>
      <w:r w:rsidR="004F1D75" w:rsidRPr="00917C90">
        <w:rPr>
          <w:rFonts w:cs="Arial"/>
          <w:szCs w:val="20"/>
        </w:rPr>
        <w:t xml:space="preserve"> is one of</w:t>
      </w:r>
      <w:r w:rsidR="004F1D75" w:rsidRPr="00014088">
        <w:rPr>
          <w:rFonts w:cs="Arial"/>
          <w:szCs w:val="20"/>
        </w:rPr>
        <w:t xml:space="preserve"> the first </w:t>
      </w:r>
      <w:r w:rsidR="00407E99" w:rsidRPr="00014088">
        <w:rPr>
          <w:rFonts w:cs="Arial"/>
          <w:szCs w:val="20"/>
        </w:rPr>
        <w:t>trials</w:t>
      </w:r>
      <w:r w:rsidR="004F1D75" w:rsidRPr="00014088">
        <w:rPr>
          <w:rFonts w:cs="Arial"/>
          <w:szCs w:val="20"/>
        </w:rPr>
        <w:t xml:space="preserve"> to assess the impact of a nutrition-sensitive graduation program</w:t>
      </w:r>
      <w:r w:rsidR="00FE2288" w:rsidRPr="00014088">
        <w:rPr>
          <w:rFonts w:eastAsiaTheme="minorHAnsi" w:cs="Arial"/>
          <w:szCs w:val="20"/>
        </w:rPr>
        <w:t>.</w:t>
      </w:r>
      <w:r w:rsidR="008B0F37" w:rsidRPr="00014088">
        <w:rPr>
          <w:rStyle w:val="FootnoteReference"/>
          <w:rFonts w:eastAsiaTheme="minorHAnsi" w:cs="Arial"/>
          <w:szCs w:val="20"/>
        </w:rPr>
        <w:footnoteReference w:id="5"/>
      </w:r>
      <w:r w:rsidR="00FE2288" w:rsidRPr="00014088">
        <w:rPr>
          <w:rFonts w:eastAsiaTheme="minorHAnsi" w:cs="Arial"/>
          <w:szCs w:val="20"/>
        </w:rPr>
        <w:t xml:space="preserve"> </w:t>
      </w:r>
      <w:r w:rsidR="001D6246">
        <w:rPr>
          <w:rFonts w:eastAsiaTheme="minorHAnsi" w:cs="Arial"/>
          <w:szCs w:val="20"/>
        </w:rPr>
        <w:t xml:space="preserve">We argue that our trial makes two major contributions, one in the area of the chosen interventions, and one in </w:t>
      </w:r>
      <w:r w:rsidR="00AF787C">
        <w:rPr>
          <w:rFonts w:eastAsiaTheme="minorHAnsi" w:cs="Arial"/>
          <w:szCs w:val="20"/>
        </w:rPr>
        <w:t xml:space="preserve">the area of </w:t>
      </w:r>
      <w:r w:rsidR="001D6246">
        <w:rPr>
          <w:rFonts w:eastAsiaTheme="minorHAnsi" w:cs="Arial"/>
          <w:szCs w:val="20"/>
        </w:rPr>
        <w:t>measurement.</w:t>
      </w:r>
    </w:p>
    <w:p w14:paraId="1E5233CC" w14:textId="4A0527EE" w:rsidR="00977C26" w:rsidRDefault="00B75E95" w:rsidP="00C55437">
      <w:pPr>
        <w:rPr>
          <w:rFonts w:cs="Arial"/>
          <w:szCs w:val="20"/>
        </w:rPr>
      </w:pPr>
      <w:bookmarkStart w:id="20" w:name="_Hlk143777180"/>
      <w:r>
        <w:rPr>
          <w:rFonts w:cs="Arial"/>
          <w:szCs w:val="20"/>
        </w:rPr>
        <w:t>Programmatically</w:t>
      </w:r>
      <w:r w:rsidR="00977C26">
        <w:rPr>
          <w:rFonts w:cs="Arial"/>
          <w:szCs w:val="20"/>
        </w:rPr>
        <w:t>,</w:t>
      </w:r>
      <w:r w:rsidR="00AF787C" w:rsidRPr="00014088">
        <w:rPr>
          <w:rFonts w:cs="Arial"/>
          <w:szCs w:val="20"/>
        </w:rPr>
        <w:t xml:space="preserve"> the SPIR nutrition interventions focus on improving caregiver knowledge through intensive behavior change communication to promote age-appropriate diets and child-feeding practices</w:t>
      </w:r>
      <w:r w:rsidR="009812BD" w:rsidRPr="00014088">
        <w:rPr>
          <w:rFonts w:cs="Arial"/>
          <w:szCs w:val="20"/>
        </w:rPr>
        <w:t>.</w:t>
      </w:r>
      <w:r w:rsidR="009812BD">
        <w:rPr>
          <w:rFonts w:cs="Arial"/>
          <w:szCs w:val="20"/>
        </w:rPr>
        <w:t xml:space="preserve"> </w:t>
      </w:r>
      <w:r w:rsidR="00AF787C">
        <w:rPr>
          <w:rFonts w:cs="Arial"/>
          <w:szCs w:val="20"/>
        </w:rPr>
        <w:t xml:space="preserve">We build on Bouguen and Dillon (2019) by including </w:t>
      </w:r>
      <w:r w:rsidR="00AF787C" w:rsidRPr="00014088">
        <w:rPr>
          <w:rFonts w:cs="Arial"/>
          <w:szCs w:val="20"/>
        </w:rPr>
        <w:t>targeted behavioral change communication</w:t>
      </w:r>
      <w:r w:rsidR="00AF787C">
        <w:rPr>
          <w:rFonts w:cs="Arial"/>
          <w:szCs w:val="20"/>
        </w:rPr>
        <w:t xml:space="preserve"> and information provision, </w:t>
      </w:r>
      <w:r w:rsidR="00977C26">
        <w:rPr>
          <w:rFonts w:cs="Arial"/>
          <w:szCs w:val="20"/>
        </w:rPr>
        <w:t xml:space="preserve">an element excluded from </w:t>
      </w:r>
      <w:r w:rsidR="00AF787C">
        <w:rPr>
          <w:rFonts w:cs="Arial"/>
          <w:szCs w:val="20"/>
        </w:rPr>
        <w:t xml:space="preserve">their graduation model; </w:t>
      </w:r>
      <w:r w:rsidR="00AF787C">
        <w:rPr>
          <w:rFonts w:eastAsiaTheme="minorHAnsi" w:cs="Arial"/>
          <w:szCs w:val="20"/>
        </w:rPr>
        <w:t>n</w:t>
      </w:r>
      <w:r w:rsidR="00AF787C" w:rsidRPr="00014088">
        <w:rPr>
          <w:rFonts w:cs="Arial"/>
          <w:szCs w:val="20"/>
        </w:rPr>
        <w:t xml:space="preserve">utritionists and public health experts consider the inclusion of an intensive behavior change communication component as essential to achieving </w:t>
      </w:r>
      <w:r w:rsidR="00AF787C">
        <w:rPr>
          <w:rFonts w:cs="Arial"/>
          <w:szCs w:val="20"/>
        </w:rPr>
        <w:t xml:space="preserve">meaningful </w:t>
      </w:r>
      <w:r w:rsidR="00AF787C" w:rsidRPr="00014088">
        <w:rPr>
          <w:rFonts w:cs="Arial"/>
          <w:szCs w:val="20"/>
        </w:rPr>
        <w:t xml:space="preserve">impacts in nutrition-sensitive programs </w:t>
      </w:r>
      <w:r w:rsidR="00FF3EF5" w:rsidRPr="00014088">
        <w:rPr>
          <w:rFonts w:cs="Arial"/>
          <w:szCs w:val="20"/>
        </w:rPr>
        <w:fldChar w:fldCharType="begin"/>
      </w:r>
      <w:r w:rsidR="00FF3EF5" w:rsidRPr="00014088">
        <w:rPr>
          <w:rFonts w:cs="Arial"/>
          <w:szCs w:val="20"/>
        </w:rPr>
        <w:instrText xml:space="preserve"> ADDIN EN.CITE &lt;EndNote&gt;&lt;Cite&gt;&lt;Author&gt;Leroy&lt;/Author&gt;&lt;Year&gt;2016&lt;/Year&gt;&lt;RecNum&gt;4109&lt;/RecNum&gt;&lt;DisplayText&gt;(Leroy et al., 2016; Ruel et al., 2018)&lt;/DisplayText&gt;&lt;record&gt;&lt;rec-number&gt;4109&lt;/rec-number&gt;&lt;foreign-keys&gt;&lt;key app="EN" db-id="9x0erf0zjf29fkerve3vt0te2rwzx959avzx" timestamp="1675325429"&gt;4109&lt;/key&gt;&lt;/foreign-keys&gt;&lt;ref-type name="Book Section"&gt;5&lt;/ref-type&gt;&lt;contributors&gt;&lt;authors&gt;&lt;author&gt;Leroy, Jef L&lt;/author&gt;&lt;author&gt;Olney, Deanna K&lt;/author&gt;&lt;author&gt;Ruel, MT&lt;/author&gt;&lt;/authors&gt;&lt;secondary-authors&gt;&lt;author&gt;Covic, N.&lt;/author&gt;&lt;author&gt;Hendriks, S. L.&lt;/author&gt;&lt;/secondary-authors&gt;&lt;/contributors&gt;&lt;titles&gt;&lt;title&gt;Evaluating nutrition-sensitive programs: challenges, methods, and opportunities&lt;/title&gt;&lt;secondary-title&gt;Achieving a nutrition revolution for Africa: the road to healthier diets and optimal nutrition&lt;/secondary-title&gt;&lt;/titles&gt;&lt;pages&gt;130-46&lt;/pages&gt;&lt;dates&gt;&lt;year&gt;2016&lt;/year&gt;&lt;/dates&gt;&lt;pub-location&gt;Washington D.C.: &lt;/pub-location&gt;&lt;publisher&gt;International Food Policy Research Institute&lt;/publisher&gt;&lt;urls&gt;&lt;/urls&gt;&lt;/record&gt;&lt;/Cite&gt;&lt;Cite&gt;&lt;Author&gt;Ruel&lt;/Author&gt;&lt;Year&gt;2018&lt;/Year&gt;&lt;RecNum&gt;1934&lt;/RecNum&gt;&lt;record&gt;&lt;rec-number&gt;1934&lt;/rec-number&gt;&lt;foreign-keys&gt;&lt;key app="EN" db-id="9x0erf0zjf29fkerve3vt0te2rwzx959avzx" timestamp="1517899235"&gt;1934&lt;/key&gt;&lt;/foreign-keys&gt;&lt;ref-type name="Journal Article"&gt;17&lt;/ref-type&gt;&lt;contributors&gt;&lt;authors&gt;&lt;author&gt;Ruel, Marie T&lt;/author&gt;&lt;author&gt;Quisumbing, Agnes R&lt;/author&gt;&lt;author&gt;Balagamwala, Mysbah&lt;/author&gt;&lt;/authors&gt;&lt;/contributors&gt;&lt;titles&gt;&lt;title&gt;Nutrition-sensitive agriculture: What have we learned so far?&lt;/title&gt;&lt;secondary-title&gt;Global Food Security&lt;/secondary-title&gt;&lt;/titles&gt;&lt;periodical&gt;&lt;full-title&gt;Global Food Security&lt;/full-title&gt;&lt;/periodical&gt;&lt;pages&gt;128-153&lt;/pages&gt;&lt;volume&gt;17&lt;/volume&gt;&lt;dates&gt;&lt;year&gt;2018&lt;/year&gt;&lt;/dates&gt;&lt;isbn&gt;2211-9124&lt;/isbn&gt;&lt;urls&gt;&lt;/urls&gt;&lt;/record&gt;&lt;/Cite&gt;&lt;/EndNote&gt;</w:instrText>
      </w:r>
      <w:r w:rsidR="00FF3EF5" w:rsidRPr="00014088">
        <w:rPr>
          <w:rFonts w:cs="Arial"/>
          <w:szCs w:val="20"/>
        </w:rPr>
        <w:fldChar w:fldCharType="separate"/>
      </w:r>
      <w:r w:rsidR="00FF3EF5" w:rsidRPr="00014088">
        <w:rPr>
          <w:rFonts w:cs="Arial"/>
          <w:noProof/>
          <w:szCs w:val="20"/>
        </w:rPr>
        <w:t>(Leroy et al., 2016; Ruel et al., 2018)</w:t>
      </w:r>
      <w:r w:rsidR="00FF3EF5" w:rsidRPr="00014088">
        <w:rPr>
          <w:rFonts w:cs="Arial"/>
          <w:szCs w:val="20"/>
        </w:rPr>
        <w:fldChar w:fldCharType="end"/>
      </w:r>
      <w:r w:rsidR="00FF3EF5" w:rsidRPr="00014088">
        <w:rPr>
          <w:rFonts w:cs="Arial"/>
          <w:szCs w:val="20"/>
        </w:rPr>
        <w:t>.</w:t>
      </w:r>
      <w:r w:rsidR="00FF3EF5">
        <w:rPr>
          <w:rFonts w:cs="Arial"/>
          <w:szCs w:val="20"/>
        </w:rPr>
        <w:t xml:space="preserve"> </w:t>
      </w:r>
      <w:r w:rsidR="00977C26">
        <w:rPr>
          <w:rFonts w:cs="Arial"/>
          <w:szCs w:val="20"/>
        </w:rPr>
        <w:t>We also build on a previous evaluation of SPIR I (Alderman et al. 2021) by analyzing the nurturing care groups, a novel method to deliver</w:t>
      </w:r>
      <w:r w:rsidR="00BC2143">
        <w:rPr>
          <w:rFonts w:cs="Arial"/>
          <w:szCs w:val="20"/>
        </w:rPr>
        <w:t xml:space="preserve"> behavioral change communication (</w:t>
      </w:r>
      <w:r w:rsidR="00977C26">
        <w:rPr>
          <w:rFonts w:cs="Arial"/>
          <w:szCs w:val="20"/>
        </w:rPr>
        <w:t>BCC</w:t>
      </w:r>
      <w:r w:rsidR="00BC2143">
        <w:rPr>
          <w:rFonts w:cs="Arial"/>
          <w:szCs w:val="20"/>
        </w:rPr>
        <w:t>)</w:t>
      </w:r>
      <w:r w:rsidR="00977C26">
        <w:rPr>
          <w:rFonts w:cs="Arial"/>
          <w:szCs w:val="20"/>
        </w:rPr>
        <w:t xml:space="preserve"> that does not rely on </w:t>
      </w:r>
      <w:r w:rsidR="00FF3EF5">
        <w:rPr>
          <w:rFonts w:cs="Arial"/>
          <w:szCs w:val="20"/>
        </w:rPr>
        <w:t xml:space="preserve">government </w:t>
      </w:r>
      <w:r w:rsidR="00977C26">
        <w:rPr>
          <w:rFonts w:cs="Arial"/>
          <w:szCs w:val="20"/>
        </w:rPr>
        <w:t xml:space="preserve">health </w:t>
      </w:r>
      <w:r w:rsidR="00977C26">
        <w:rPr>
          <w:rFonts w:cs="Arial"/>
          <w:szCs w:val="20"/>
        </w:rPr>
        <w:lastRenderedPageBreak/>
        <w:t>extension workers</w:t>
      </w:r>
      <w:r w:rsidR="00FF3EF5">
        <w:rPr>
          <w:rFonts w:cs="Arial"/>
          <w:szCs w:val="20"/>
        </w:rPr>
        <w:t xml:space="preserve"> </w:t>
      </w:r>
      <w:r w:rsidR="00977C26">
        <w:rPr>
          <w:rFonts w:cs="Arial"/>
          <w:szCs w:val="20"/>
        </w:rPr>
        <w:t xml:space="preserve">that </w:t>
      </w:r>
      <w:r w:rsidR="00FF3EF5">
        <w:rPr>
          <w:rFonts w:cs="Arial"/>
          <w:szCs w:val="20"/>
        </w:rPr>
        <w:t xml:space="preserve">are burdened with </w:t>
      </w:r>
      <w:r w:rsidR="00633C6D">
        <w:rPr>
          <w:rFonts w:cs="Arial"/>
          <w:szCs w:val="20"/>
        </w:rPr>
        <w:t>multiple activities and heavy client caseloads</w:t>
      </w:r>
      <w:r w:rsidR="0080443C">
        <w:rPr>
          <w:rFonts w:cs="Arial"/>
          <w:szCs w:val="20"/>
        </w:rPr>
        <w:t xml:space="preserve"> </w:t>
      </w:r>
      <w:r w:rsidR="0080443C">
        <w:rPr>
          <w:rFonts w:cs="Arial"/>
          <w:szCs w:val="20"/>
        </w:rPr>
        <w:fldChar w:fldCharType="begin"/>
      </w:r>
      <w:r w:rsidR="0080443C">
        <w:rPr>
          <w:rFonts w:cs="Arial"/>
          <w:szCs w:val="20"/>
        </w:rPr>
        <w:instrText xml:space="preserve"> ADDIN EN.CITE &lt;EndNote&gt;&lt;Cite&gt;&lt;Author&gt;Berhane&lt;/Author&gt;&lt;Year&gt;2020&lt;/Year&gt;&lt;RecNum&gt;2266&lt;/RecNum&gt;&lt;DisplayText&gt;(Berhane et al., 2020)&lt;/DisplayText&gt;&lt;record&gt;&lt;rec-number&gt;2266&lt;/rec-number&gt;&lt;foreign-keys&gt;&lt;key app="EN" db-id="9x0erf0zjf29fkerve3vt0te2rwzx959avzx" timestamp="1542358072"&gt;2266&lt;/key&gt;&lt;/foreign-keys&gt;&lt;ref-type name="Report"&gt;27&lt;/ref-type&gt;&lt;contributors&gt;&lt;authors&gt;&lt;author&gt;Guush Berhane&lt;/author&gt;&lt;author&gt;Jenna Golan&lt;/author&gt;&lt;author&gt;Kalle Hirvonen&lt;/author&gt;&lt;author&gt;John Hoddinott&lt;/author&gt;&lt;author&gt;Sunny Kim&lt;/author&gt;&lt;author&gt;Alemayehu Seyoum Taffesse&lt;/author&gt;&lt;author&gt;Kibrewossen Abay&lt;/author&gt;&lt;author&gt;Thomas Assefa&lt;/author&gt;&lt;author&gt;Yetmwork Habte&lt;/author&gt;&lt;author&gt;Mehari Hiluf&lt;/author&gt;&lt;author&gt;Bethelem Koru&lt;/author&gt;&lt;author&gt;Fanaye Tadesse&lt;/author&gt;&lt;author&gt;Feiruz Yimer&lt;/author&gt;&lt;/authors&gt;&lt;/contributors&gt;&lt;titles&gt;&lt;title&gt;Evaluation of the Nutrition-sensitive Features of the Fourth Phase of Ethiopia&amp;apos;s Productive Safety Net Programme&lt;/title&gt;&lt;secondary-title&gt;IFPRI-ESSP Working Paper&lt;/secondary-title&gt;&lt;/titles&gt;&lt;periodical&gt;&lt;full-title&gt;IFPRI-ESSP working paper&lt;/full-title&gt;&lt;/periodical&gt;&lt;volume&gt;140&lt;/volume&gt;&lt;dates&gt;&lt;year&gt;2020&lt;/year&gt;&lt;/dates&gt;&lt;pub-location&gt;Addis Ababa&lt;/pub-location&gt;&lt;publisher&gt;International Food Policy Research Institute (IFPRI), Ethiopia Strategy Support Program (ESSP)&lt;/publisher&gt;&lt;urls&gt;&lt;/urls&gt;&lt;/record&gt;&lt;/Cite&gt;&lt;/EndNote&gt;</w:instrText>
      </w:r>
      <w:r w:rsidR="0080443C">
        <w:rPr>
          <w:rFonts w:cs="Arial"/>
          <w:szCs w:val="20"/>
        </w:rPr>
        <w:fldChar w:fldCharType="separate"/>
      </w:r>
      <w:r w:rsidR="0080443C">
        <w:rPr>
          <w:rFonts w:cs="Arial"/>
          <w:noProof/>
          <w:szCs w:val="20"/>
        </w:rPr>
        <w:t>(Berhane et al., 2020)</w:t>
      </w:r>
      <w:r w:rsidR="0080443C">
        <w:rPr>
          <w:rFonts w:cs="Arial"/>
          <w:szCs w:val="20"/>
        </w:rPr>
        <w:fldChar w:fldCharType="end"/>
      </w:r>
      <w:r w:rsidR="00470FD5">
        <w:rPr>
          <w:rFonts w:cs="Arial"/>
          <w:szCs w:val="20"/>
        </w:rPr>
        <w:t>. As a result, the HEWs are often</w:t>
      </w:r>
      <w:r w:rsidR="0080443C">
        <w:rPr>
          <w:rFonts w:cs="Arial"/>
          <w:szCs w:val="20"/>
        </w:rPr>
        <w:t xml:space="preserve"> unable to take on intensive BCC activities that are required to improve infant and child feeding practices</w:t>
      </w:r>
      <w:r w:rsidR="00633C6D">
        <w:rPr>
          <w:rFonts w:cs="Arial"/>
          <w:szCs w:val="20"/>
        </w:rPr>
        <w:t>.</w:t>
      </w:r>
    </w:p>
    <w:p w14:paraId="03439360" w14:textId="7A4689BD" w:rsidR="001D6246" w:rsidRDefault="00977C26" w:rsidP="00C55437">
      <w:pPr>
        <w:rPr>
          <w:rFonts w:eastAsiaTheme="minorHAnsi" w:cs="Arial"/>
          <w:szCs w:val="20"/>
        </w:rPr>
      </w:pPr>
      <w:r>
        <w:rPr>
          <w:rFonts w:cs="Arial"/>
          <w:szCs w:val="20"/>
        </w:rPr>
        <w:t>In addition, we</w:t>
      </w:r>
      <w:r w:rsidR="00AF787C">
        <w:rPr>
          <w:rFonts w:cs="Arial"/>
          <w:szCs w:val="20"/>
        </w:rPr>
        <w:t xml:space="preserve"> evaluate the marginal impact of maternal cash transfers in conjunction with NCGs relative to NCGs alone. Both the base level of poverty and food insecurity in this sample (nearly 75% of households are below the extreme poverty line as measured at baseline) and a detailed qualitative study conducted as part of the formative work for this trial highlights that households are severely cash-constrained in providing a high-quality nutritious diet, with fruits and vegetables and animal-source foods largely unattainable (Leight et al. 2022</w:t>
      </w:r>
      <w:bookmarkStart w:id="21" w:name="_Hlk143173731"/>
      <w:r w:rsidR="0080443C">
        <w:rPr>
          <w:rFonts w:cs="Arial"/>
          <w:szCs w:val="20"/>
        </w:rPr>
        <w:t>)</w:t>
      </w:r>
      <w:r w:rsidR="0080443C" w:rsidRPr="00014088">
        <w:rPr>
          <w:rFonts w:cs="Arial"/>
          <w:szCs w:val="20"/>
        </w:rPr>
        <w:t>.</w:t>
      </w:r>
      <w:r w:rsidR="0080443C">
        <w:rPr>
          <w:rStyle w:val="FootnoteReference"/>
          <w:rFonts w:cs="Arial"/>
          <w:szCs w:val="20"/>
        </w:rPr>
        <w:footnoteReference w:id="6"/>
      </w:r>
      <w:r w:rsidR="0080443C">
        <w:rPr>
          <w:rFonts w:cs="Arial"/>
          <w:szCs w:val="20"/>
        </w:rPr>
        <w:t xml:space="preserve"> </w:t>
      </w:r>
      <w:r w:rsidR="00AF787C">
        <w:rPr>
          <w:rFonts w:cs="Arial"/>
          <w:szCs w:val="20"/>
        </w:rPr>
        <w:t>Our experimental design will allow us to test the hypothesis – generated by our qualitative work – that relaxing this cash constraint can have a significant positive effect on infant growth.</w:t>
      </w:r>
      <w:bookmarkEnd w:id="21"/>
      <w:r w:rsidR="00C62BB4">
        <w:rPr>
          <w:rFonts w:cs="Arial"/>
          <w:szCs w:val="20"/>
        </w:rPr>
        <w:t xml:space="preserve"> </w:t>
      </w:r>
    </w:p>
    <w:bookmarkEnd w:id="20"/>
    <w:p w14:paraId="7E37568E" w14:textId="34B38B61" w:rsidR="001D6246" w:rsidRDefault="001D6246" w:rsidP="00C55437">
      <w:pPr>
        <w:rPr>
          <w:rFonts w:cs="Arial"/>
          <w:szCs w:val="20"/>
        </w:rPr>
      </w:pPr>
      <w:r>
        <w:rPr>
          <w:rFonts w:eastAsiaTheme="minorHAnsi" w:cs="Arial"/>
          <w:szCs w:val="20"/>
        </w:rPr>
        <w:t>In measurement, we employ a</w:t>
      </w:r>
      <w:r w:rsidR="002C24D3" w:rsidRPr="00014088">
        <w:rPr>
          <w:rFonts w:eastAsiaTheme="minorHAnsi" w:cs="Arial"/>
          <w:szCs w:val="20"/>
        </w:rPr>
        <w:t xml:space="preserve"> </w:t>
      </w:r>
      <w:bookmarkStart w:id="22" w:name="_Hlk126579295"/>
      <w:r w:rsidR="005A6EEF" w:rsidRPr="00014088">
        <w:rPr>
          <w:rFonts w:cs="Arial"/>
          <w:szCs w:val="20"/>
        </w:rPr>
        <w:t>careful cohort-focused sampling strategy that is linked to targeted survey timing and a selection of outcome indicators designed to capture the complex age dynamics of child feeding and linear growth faltering in this context</w:t>
      </w:r>
      <w:bookmarkEnd w:id="22"/>
      <w:r w:rsidR="005A6EEF" w:rsidRPr="00014088">
        <w:rPr>
          <w:rFonts w:cs="Arial"/>
          <w:szCs w:val="20"/>
        </w:rPr>
        <w:t xml:space="preserve">. Extensive evidence from the nutrition literature shows that linear growth faltering largely occurs during the first 24 months of life </w:t>
      </w:r>
      <w:r w:rsidR="005A6EEF" w:rsidRPr="00014088">
        <w:rPr>
          <w:rFonts w:cs="Arial"/>
          <w:szCs w:val="20"/>
        </w:rPr>
        <w:fldChar w:fldCharType="begin">
          <w:fldData xml:space="preserve">PEVuZE5vdGU+PENpdGU+PEF1dGhvcj5WaWN0b3JhPC9BdXRob3I+PFllYXI+MjAxMDwvWWVhcj48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==
</w:fldData>
        </w:fldChar>
      </w:r>
      <w:r w:rsidR="005A6EEF" w:rsidRPr="00014088">
        <w:rPr>
          <w:rFonts w:cs="Arial"/>
          <w:szCs w:val="20"/>
        </w:rPr>
        <w:instrText xml:space="preserve"> ADDIN EN.CITE </w:instrText>
      </w:r>
      <w:r w:rsidR="005A6EEF" w:rsidRPr="00014088">
        <w:rPr>
          <w:rFonts w:cs="Arial"/>
          <w:szCs w:val="20"/>
        </w:rPr>
        <w:fldChar w:fldCharType="begin">
          <w:fldData xml:space="preserve">PEVuZE5vdGU+PENpdGU+PEF1dGhvcj5WaWN0b3JhPC9BdXRob3I+PFllYXI+MjAxMDwvWWVhcj48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==
</w:fldData>
        </w:fldChar>
      </w:r>
      <w:r w:rsidR="005A6EEF" w:rsidRPr="00014088">
        <w:rPr>
          <w:rFonts w:cs="Arial"/>
          <w:szCs w:val="20"/>
        </w:rPr>
        <w:instrText xml:space="preserve"> ADDIN EN.CITE.DATA </w:instrText>
      </w:r>
      <w:r w:rsidR="005A6EEF" w:rsidRPr="00014088">
        <w:rPr>
          <w:rFonts w:cs="Arial"/>
          <w:szCs w:val="20"/>
        </w:rPr>
      </w:r>
      <w:r w:rsidR="005A6EEF" w:rsidRPr="00014088">
        <w:rPr>
          <w:rFonts w:cs="Arial"/>
          <w:szCs w:val="20"/>
        </w:rPr>
        <w:fldChar w:fldCharType="end"/>
      </w:r>
      <w:r w:rsidR="005A6EEF" w:rsidRPr="00014088">
        <w:rPr>
          <w:rFonts w:cs="Arial"/>
          <w:szCs w:val="20"/>
        </w:rPr>
      </w:r>
      <w:r w:rsidR="005A6EEF" w:rsidRPr="00014088">
        <w:rPr>
          <w:rFonts w:cs="Arial"/>
          <w:szCs w:val="20"/>
        </w:rPr>
        <w:fldChar w:fldCharType="separate"/>
      </w:r>
      <w:r w:rsidR="005A6EEF" w:rsidRPr="00014088">
        <w:rPr>
          <w:rFonts w:cs="Arial"/>
          <w:noProof/>
          <w:szCs w:val="20"/>
        </w:rPr>
        <w:t>(Shrimpton et al., 2001; Victora et al., 2010)</w:t>
      </w:r>
      <w:r w:rsidR="005A6EEF" w:rsidRPr="00014088">
        <w:rPr>
          <w:rFonts w:cs="Arial"/>
          <w:szCs w:val="20"/>
        </w:rPr>
        <w:fldChar w:fldCharType="end"/>
      </w:r>
      <w:r w:rsidR="005A6EEF" w:rsidRPr="00014088">
        <w:rPr>
          <w:rFonts w:cs="Arial"/>
          <w:szCs w:val="20"/>
        </w:rPr>
        <w:t xml:space="preserve"> with little evidence of a systematic reversal in the first </w:t>
      </w:r>
      <w:r w:rsidR="002460F8" w:rsidRPr="00014088">
        <w:rPr>
          <w:rFonts w:cs="Arial"/>
          <w:szCs w:val="20"/>
        </w:rPr>
        <w:t>five</w:t>
      </w:r>
      <w:r w:rsidR="005A6EEF" w:rsidRPr="00014088">
        <w:rPr>
          <w:rFonts w:cs="Arial"/>
          <w:szCs w:val="20"/>
        </w:rPr>
        <w:t xml:space="preserve"> years of life </w:t>
      </w:r>
      <w:r w:rsidR="005A6EEF" w:rsidRPr="00014088">
        <w:rPr>
          <w:rFonts w:cs="Arial"/>
          <w:szCs w:val="20"/>
        </w:rPr>
        <w:fldChar w:fldCharType="begin"/>
      </w:r>
      <w:r w:rsidR="005A6EEF" w:rsidRPr="00014088">
        <w:rPr>
          <w:rFonts w:cs="Arial"/>
          <w:szCs w:val="20"/>
        </w:rPr>
        <w:instrText xml:space="preserve"> ADDIN EN.CITE &lt;EndNote&gt;&lt;Cite&gt;&lt;Author&gt;Leroy&lt;/Author&gt;&lt;Year&gt;2014&lt;/Year&gt;&lt;RecNum&gt;1900&lt;/RecNum&gt;&lt;DisplayText&gt;(Leroy et al., 2014)&lt;/DisplayText&gt;&lt;record&gt;&lt;rec-number&gt;1900&lt;/rec-number&gt;&lt;foreign-keys&gt;&lt;key app="EN" db-id="9x0erf0zjf29fkerve3vt0te2rwzx959avzx" timestamp="1510477177"&gt;1900&lt;/key&gt;&lt;/foreign-keys&gt;&lt;ref-type name="Journal Article"&gt;17&lt;/ref-type&gt;&lt;contributors&gt;&lt;authors&gt;&lt;author&gt;Leroy, Jef L&lt;/author&gt;&lt;author&gt;Ruel, Marie&lt;/author&gt;&lt;author&gt;Habicht, Jean-Pierre&lt;/author&gt;&lt;author&gt;Frongillo, Edward A&lt;/author&gt;&lt;/authors&gt;&lt;/contributors&gt;&lt;titles&gt;&lt;title&gt;Linear growth deficit continues to accumulate beyond the first 1000 days in low-and middle-income countries: global evidence from 51 national surveys&lt;/title&gt;&lt;secondary-title&gt;The Journal of Nutrition&lt;/secondary-title&gt;&lt;/titles&gt;&lt;periodical&gt;&lt;full-title&gt;The Journal of Nutrition&lt;/full-title&gt;&lt;/periodical&gt;&lt;pages&gt;1460-1466&lt;/pages&gt;&lt;volume&gt;144&lt;/volume&gt;&lt;number&gt;9&lt;/number&gt;&lt;dates&gt;&lt;year&gt;2014&lt;/year&gt;&lt;/dates&gt;&lt;isbn&gt;0022-3166&lt;/isbn&gt;&lt;urls&gt;&lt;/urls&gt;&lt;/record&gt;&lt;/Cite&gt;&lt;/EndNote&gt;</w:instrText>
      </w:r>
      <w:r w:rsidR="005A6EEF" w:rsidRPr="00014088">
        <w:rPr>
          <w:rFonts w:cs="Arial"/>
          <w:szCs w:val="20"/>
        </w:rPr>
        <w:fldChar w:fldCharType="separate"/>
      </w:r>
      <w:r w:rsidR="005A6EEF" w:rsidRPr="00014088">
        <w:rPr>
          <w:rFonts w:cs="Arial"/>
          <w:noProof/>
          <w:szCs w:val="20"/>
        </w:rPr>
        <w:t>(Leroy et al., 2014)</w:t>
      </w:r>
      <w:r w:rsidR="005A6EEF" w:rsidRPr="00014088">
        <w:rPr>
          <w:rFonts w:cs="Arial"/>
          <w:szCs w:val="20"/>
        </w:rPr>
        <w:fldChar w:fldCharType="end"/>
      </w:r>
      <w:r w:rsidR="005A6EEF" w:rsidRPr="00014088">
        <w:rPr>
          <w:rFonts w:cs="Arial"/>
          <w:szCs w:val="20"/>
        </w:rPr>
        <w:t xml:space="preserve">. Methodologically, these same insights imply that the timing of survey measurements plays a critical role; evaluating program impacts too early increases the risk of finding a null result </w:t>
      </w:r>
      <w:r w:rsidR="005A6EEF" w:rsidRPr="00014088">
        <w:rPr>
          <w:rFonts w:cs="Arial"/>
          <w:szCs w:val="20"/>
        </w:rPr>
        <w:fldChar w:fldCharType="begin"/>
      </w:r>
      <w:r w:rsidR="00E80670" w:rsidRPr="00014088">
        <w:rPr>
          <w:rFonts w:cs="Arial"/>
          <w:szCs w:val="20"/>
        </w:rPr>
        <w:instrText xml:space="preserve"> ADDIN EN.CITE &lt;EndNote&gt;&lt;Cite&gt;&lt;Author&gt;King&lt;/Author&gt;&lt;Year&gt;2009&lt;/Year&gt;&lt;RecNum&gt;4083&lt;/RecNum&gt;&lt;DisplayText&gt;(King and Behrman, 2009; Linnemayr and Alderman, 2011)&lt;/DisplayText&gt;&lt;record&gt;&lt;rec-number&gt;4083&lt;/rec-number&gt;&lt;foreign-keys&gt;&lt;key app="EN" db-id="9x0erf0zjf29fkerve3vt0te2rwzx959avzx" timestamp="1670922184"&gt;4083&lt;/key&gt;&lt;/foreign-keys&gt;&lt;ref-type name="Journal Article"&gt;17&lt;/ref-type&gt;&lt;contributors&gt;&lt;authors&gt;&lt;author&gt;King, Elizabeth M&lt;/author&gt;&lt;author&gt;Behrman, Jere R&lt;/author&gt;&lt;/authors&gt;&lt;/contributors&gt;&lt;titles&gt;&lt;title&gt;Timing and duration of exposure in evaluations of social programs&lt;/title&gt;&lt;secondary-title&gt;The World Bank Research Observer&lt;/secondary-title&gt;&lt;/titles&gt;&lt;periodical&gt;&lt;full-title&gt;The World Bank Research Observer&lt;/full-title&gt;&lt;/periodical&gt;&lt;pages&gt;55-82&lt;/pages&gt;&lt;volume&gt;24&lt;/volume&gt;&lt;number&gt;1&lt;/number&gt;&lt;dates&gt;&lt;year&gt;2009&lt;/year&gt;&lt;/dates&gt;&lt;isbn&gt;1564-6971&lt;/isbn&gt;&lt;urls&gt;&lt;/urls&gt;&lt;/record&gt;&lt;/Cite&gt;&lt;Cite&gt;&lt;Author&gt;Linnemayr&lt;/Author&gt;&lt;Year&gt;2011&lt;/Year&gt;&lt;RecNum&gt;4108&lt;/RecNum&gt;&lt;record&gt;&lt;rec-number&gt;4108&lt;/rec-number&gt;&lt;foreign-keys&gt;&lt;key app="EN" db-id="9x0erf0zjf29fkerve3vt0te2rwzx959avzx" timestamp="1675258223"&gt;4108&lt;/key&gt;&lt;/foreign-keys&gt;&lt;ref-type name="Journal Article"&gt;17&lt;/ref-type&gt;&lt;contributors&gt;&lt;authors&gt;&lt;author&gt;Linnemayr, Sebastian&lt;/author&gt;&lt;author&gt;Alderman, Harold&lt;/author&gt;&lt;/authors&gt;&lt;/contributors&gt;&lt;titles&gt;&lt;title&gt;Almost random: Evaluating a large-scale randomized nutrition program in the presence of crossover&lt;/title&gt;&lt;secondary-title&gt;Journal of Development Economics&lt;/secondary-title&gt;&lt;/titles&gt;&lt;periodical&gt;&lt;full-title&gt;Journal of Development Economics&lt;/full-title&gt;&lt;/periodical&gt;&lt;pages&gt;106-114&lt;/pages&gt;&lt;volume&gt;96&lt;/volume&gt;&lt;number&gt;1&lt;/number&gt;&lt;dates&gt;&lt;year&gt;2011&lt;/year&gt;&lt;/dates&gt;&lt;isbn&gt;0304-3878&lt;/isbn&gt;&lt;urls&gt;&lt;/urls&gt;&lt;/record&gt;&lt;/Cite&gt;&lt;/EndNote&gt;</w:instrText>
      </w:r>
      <w:r w:rsidR="005A6EEF" w:rsidRPr="00014088">
        <w:rPr>
          <w:rFonts w:cs="Arial"/>
          <w:szCs w:val="20"/>
        </w:rPr>
        <w:fldChar w:fldCharType="separate"/>
      </w:r>
      <w:r w:rsidR="00E80670" w:rsidRPr="00014088">
        <w:rPr>
          <w:rFonts w:cs="Arial"/>
          <w:noProof/>
          <w:szCs w:val="20"/>
        </w:rPr>
        <w:t>(King and Behrman, 2009; Linnemayr and Alderman, 2011)</w:t>
      </w:r>
      <w:r w:rsidR="005A6EEF" w:rsidRPr="00014088">
        <w:rPr>
          <w:rFonts w:cs="Arial"/>
          <w:szCs w:val="20"/>
        </w:rPr>
        <w:fldChar w:fldCharType="end"/>
      </w:r>
      <w:r w:rsidR="005A6EEF" w:rsidRPr="00014088">
        <w:rPr>
          <w:rFonts w:cs="Arial"/>
          <w:szCs w:val="20"/>
        </w:rPr>
        <w:t xml:space="preserve">. </w:t>
      </w:r>
    </w:p>
    <w:p w14:paraId="63B4A313" w14:textId="66F6C53A" w:rsidR="00F62D0E" w:rsidRPr="00014088" w:rsidRDefault="005A6EEF" w:rsidP="00C55437">
      <w:pPr>
        <w:rPr>
          <w:rFonts w:cs="Arial"/>
          <w:szCs w:val="20"/>
        </w:rPr>
      </w:pPr>
      <w:r w:rsidRPr="00014088">
        <w:rPr>
          <w:rFonts w:cs="Arial"/>
          <w:szCs w:val="20"/>
        </w:rPr>
        <w:t>While previous trials evaluate a pooled sample of households with children up to age five and define outcome variables for broader periods of child growth up to three years (Bouguen and Dillon 2022)</w:t>
      </w:r>
      <w:r w:rsidR="002460F8" w:rsidRPr="00014088">
        <w:rPr>
          <w:rFonts w:cs="Arial"/>
          <w:szCs w:val="20"/>
        </w:rPr>
        <w:t>,</w:t>
      </w:r>
      <w:r w:rsidRPr="00014088">
        <w:rPr>
          <w:rFonts w:cs="Arial"/>
          <w:szCs w:val="20"/>
        </w:rPr>
        <w:t xml:space="preserve"> our trial target</w:t>
      </w:r>
      <w:r w:rsidR="00252A23">
        <w:rPr>
          <w:rFonts w:cs="Arial"/>
          <w:szCs w:val="20"/>
        </w:rPr>
        <w:t>s</w:t>
      </w:r>
      <w:r w:rsidRPr="00014088">
        <w:rPr>
          <w:rFonts w:cs="Arial"/>
          <w:szCs w:val="20"/>
        </w:rPr>
        <w:t xml:space="preserve"> </w:t>
      </w:r>
      <w:r w:rsidR="007E7FAE">
        <w:rPr>
          <w:rFonts w:cs="Arial"/>
          <w:szCs w:val="20"/>
        </w:rPr>
        <w:t>a sample of</w:t>
      </w:r>
      <w:r w:rsidRPr="00014088">
        <w:rPr>
          <w:rFonts w:cs="Arial"/>
          <w:szCs w:val="20"/>
        </w:rPr>
        <w:t xml:space="preserve"> pregnant women and </w:t>
      </w:r>
      <w:r w:rsidR="002460F8" w:rsidRPr="00014088">
        <w:rPr>
          <w:rFonts w:cs="Arial"/>
          <w:szCs w:val="20"/>
        </w:rPr>
        <w:t>infants</w:t>
      </w:r>
      <w:r w:rsidRPr="00014088">
        <w:rPr>
          <w:rFonts w:cs="Arial"/>
          <w:szCs w:val="20"/>
        </w:rPr>
        <w:t xml:space="preserve"> in a very narrow age range (under nine months</w:t>
      </w:r>
      <w:r w:rsidR="007E7FAE">
        <w:rPr>
          <w:rFonts w:cs="Arial"/>
          <w:szCs w:val="20"/>
        </w:rPr>
        <w:t>)</w:t>
      </w:r>
      <w:r w:rsidR="00CC2C64" w:rsidRPr="00014088">
        <w:rPr>
          <w:rFonts w:cs="Arial"/>
          <w:szCs w:val="20"/>
        </w:rPr>
        <w:t xml:space="preserve"> at baseline</w:t>
      </w:r>
      <w:r w:rsidRPr="00014088">
        <w:rPr>
          <w:rFonts w:cs="Arial"/>
          <w:szCs w:val="20"/>
        </w:rPr>
        <w:t xml:space="preserve"> to ensure that the entire sample </w:t>
      </w:r>
      <w:r w:rsidR="00AF787C" w:rsidRPr="00014088">
        <w:rPr>
          <w:rFonts w:cs="Arial"/>
          <w:szCs w:val="20"/>
        </w:rPr>
        <w:t>w</w:t>
      </w:r>
      <w:r w:rsidR="00AF787C">
        <w:rPr>
          <w:rFonts w:cs="Arial"/>
          <w:szCs w:val="20"/>
        </w:rPr>
        <w:t>ill</w:t>
      </w:r>
      <w:r w:rsidR="00AF787C" w:rsidRPr="00014088">
        <w:rPr>
          <w:rFonts w:cs="Arial"/>
          <w:szCs w:val="20"/>
        </w:rPr>
        <w:t xml:space="preserve"> </w:t>
      </w:r>
      <w:r w:rsidRPr="00014088">
        <w:rPr>
          <w:rFonts w:cs="Arial"/>
          <w:szCs w:val="20"/>
        </w:rPr>
        <w:t xml:space="preserve">be reaching key developmental milestones </w:t>
      </w:r>
      <w:r w:rsidR="00CC2C64" w:rsidRPr="00014088">
        <w:rPr>
          <w:rFonts w:cs="Arial"/>
          <w:szCs w:val="20"/>
        </w:rPr>
        <w:t>in conjunction with</w:t>
      </w:r>
      <w:r w:rsidRPr="00014088">
        <w:rPr>
          <w:rFonts w:cs="Arial"/>
          <w:szCs w:val="20"/>
        </w:rPr>
        <w:t xml:space="preserve"> the major survey waves. At midline, all sampled children will be between the ages of six </w:t>
      </w:r>
      <w:r w:rsidR="007E7FAE">
        <w:rPr>
          <w:rFonts w:cs="Arial"/>
          <w:szCs w:val="20"/>
        </w:rPr>
        <w:t>a</w:t>
      </w:r>
      <w:r w:rsidRPr="00014088">
        <w:rPr>
          <w:rFonts w:cs="Arial"/>
          <w:szCs w:val="20"/>
        </w:rPr>
        <w:t>nd 21 months, an ideal period to measure nutritional practices linked to</w:t>
      </w:r>
      <w:r w:rsidR="00341F2A" w:rsidRPr="00014088">
        <w:rPr>
          <w:rFonts w:cs="Arial"/>
          <w:szCs w:val="20"/>
        </w:rPr>
        <w:t xml:space="preserve"> age-appropriate</w:t>
      </w:r>
      <w:r w:rsidRPr="00014088">
        <w:rPr>
          <w:rFonts w:cs="Arial"/>
          <w:szCs w:val="20"/>
        </w:rPr>
        <w:t xml:space="preserve"> complementary feeding</w:t>
      </w:r>
      <w:r w:rsidR="00341F2A" w:rsidRPr="00014088">
        <w:rPr>
          <w:rFonts w:cs="Arial"/>
          <w:szCs w:val="20"/>
        </w:rPr>
        <w:t>. A</w:t>
      </w:r>
      <w:r w:rsidRPr="00014088">
        <w:rPr>
          <w:rFonts w:cs="Arial"/>
          <w:szCs w:val="20"/>
        </w:rPr>
        <w:t xml:space="preserve">t endline, all sampled children will be between the ages of 30 and 45 months, </w:t>
      </w:r>
      <w:r w:rsidR="007E7FAE">
        <w:rPr>
          <w:rFonts w:cs="Arial"/>
          <w:szCs w:val="20"/>
        </w:rPr>
        <w:t>the optimal point at which</w:t>
      </w:r>
      <w:r w:rsidR="00F62D0E" w:rsidRPr="00014088">
        <w:rPr>
          <w:rFonts w:cs="Arial"/>
          <w:szCs w:val="20"/>
        </w:rPr>
        <w:t xml:space="preserve"> to quantify the program’s impact on linear growth indicators (e.g., height-for-age) </w:t>
      </w:r>
      <w:r w:rsidR="00E87595" w:rsidRPr="00014088">
        <w:rPr>
          <w:rFonts w:cs="Arial"/>
          <w:szCs w:val="20"/>
        </w:rPr>
        <w:t>as</w:t>
      </w:r>
      <w:r w:rsidR="005E40A3" w:rsidRPr="00014088">
        <w:rPr>
          <w:rFonts w:cs="Arial"/>
          <w:szCs w:val="20"/>
        </w:rPr>
        <w:t xml:space="preserve"> the process of growth faltering is unlikely to be ongoing </w:t>
      </w:r>
      <w:r w:rsidR="00CC2C64" w:rsidRPr="00014088">
        <w:rPr>
          <w:rFonts w:cs="Arial"/>
          <w:szCs w:val="20"/>
        </w:rPr>
        <w:t xml:space="preserve">at that point, </w:t>
      </w:r>
      <w:r w:rsidR="00607EBC" w:rsidRPr="00014088">
        <w:rPr>
          <w:rFonts w:cs="Arial"/>
          <w:szCs w:val="20"/>
        </w:rPr>
        <w:t>and there is</w:t>
      </w:r>
      <w:r w:rsidR="00E87595" w:rsidRPr="00014088">
        <w:rPr>
          <w:rFonts w:cs="Arial"/>
          <w:szCs w:val="20"/>
        </w:rPr>
        <w:t xml:space="preserve"> </w:t>
      </w:r>
      <w:r w:rsidR="005E40A3" w:rsidRPr="00014088">
        <w:rPr>
          <w:rFonts w:cs="Arial"/>
          <w:szCs w:val="20"/>
        </w:rPr>
        <w:t>limited scope for catch-up growth</w:t>
      </w:r>
      <w:r w:rsidR="00CC2C64" w:rsidRPr="00014088">
        <w:rPr>
          <w:rFonts w:cs="Arial"/>
          <w:szCs w:val="20"/>
        </w:rPr>
        <w:t xml:space="preserve"> in this age range</w:t>
      </w:r>
      <w:r w:rsidR="005E40A3" w:rsidRPr="00014088">
        <w:rPr>
          <w:rFonts w:cs="Arial"/>
          <w:szCs w:val="20"/>
        </w:rPr>
        <w:t xml:space="preserve"> </w:t>
      </w:r>
      <w:r w:rsidR="005E40A3" w:rsidRPr="00014088">
        <w:rPr>
          <w:rFonts w:cs="Arial"/>
          <w:szCs w:val="20"/>
        </w:rPr>
        <w:fldChar w:fldCharType="begin"/>
      </w:r>
      <w:r w:rsidR="005E40A3" w:rsidRPr="00014088">
        <w:rPr>
          <w:rFonts w:cs="Arial"/>
          <w:szCs w:val="20"/>
        </w:rPr>
        <w:instrText xml:space="preserve"> ADDIN EN.CITE &lt;EndNote&gt;&lt;Cite&gt;&lt;Author&gt;Leroy&lt;/Author&gt;&lt;Year&gt;2014&lt;/Year&gt;&lt;RecNum&gt;1900&lt;/RecNum&gt;&lt;DisplayText&gt;(Leroy et al., 2014)&lt;/DisplayText&gt;&lt;record&gt;&lt;rec-number&gt;1900&lt;/rec-number&gt;&lt;foreign-keys&gt;&lt;key app="EN" db-id="9x0erf0zjf29fkerve3vt0te2rwzx959avzx" timestamp="1510477177"&gt;1900&lt;/key&gt;&lt;/foreign-keys&gt;&lt;ref-type name="Journal Article"&gt;17&lt;/ref-type&gt;&lt;contributors&gt;&lt;authors&gt;&lt;author&gt;Leroy, Jef L&lt;/author&gt;&lt;author&gt;Ruel, Marie&lt;/author&gt;&lt;author&gt;Habicht, Jean-Pierre&lt;/author&gt;&lt;author&gt;Frongillo, Edward A&lt;/author&gt;&lt;/authors&gt;&lt;/contributors&gt;&lt;titles&gt;&lt;title&gt;Linear growth deficit continues to accumulate beyond the first 1000 days in low-and middle-income countries: global evidence from 51 national surveys&lt;/title&gt;&lt;secondary-title&gt;The Journal of Nutrition&lt;/secondary-title&gt;&lt;/titles&gt;&lt;periodical&gt;&lt;full-title&gt;The Journal of Nutrition&lt;/full-title&gt;&lt;/periodical&gt;&lt;pages&gt;1460-1466&lt;/pages&gt;&lt;volume&gt;144&lt;/volume&gt;&lt;number&gt;9&lt;/number&gt;&lt;dates&gt;&lt;year&gt;2014&lt;/year&gt;&lt;/dates&gt;&lt;isbn&gt;0022-3166&lt;/isbn&gt;&lt;urls&gt;&lt;/urls&gt;&lt;/record&gt;&lt;/Cite&gt;&lt;/EndNote&gt;</w:instrText>
      </w:r>
      <w:r w:rsidR="005E40A3" w:rsidRPr="00014088">
        <w:rPr>
          <w:rFonts w:cs="Arial"/>
          <w:szCs w:val="20"/>
        </w:rPr>
        <w:fldChar w:fldCharType="separate"/>
      </w:r>
      <w:r w:rsidR="005E40A3" w:rsidRPr="00014088">
        <w:rPr>
          <w:rFonts w:cs="Arial"/>
          <w:noProof/>
          <w:szCs w:val="20"/>
        </w:rPr>
        <w:t>(Leroy et al., 2014)</w:t>
      </w:r>
      <w:r w:rsidR="005E40A3" w:rsidRPr="00014088">
        <w:rPr>
          <w:rFonts w:cs="Arial"/>
          <w:szCs w:val="20"/>
        </w:rPr>
        <w:fldChar w:fldCharType="end"/>
      </w:r>
      <w:r w:rsidR="005E40A3" w:rsidRPr="00014088">
        <w:rPr>
          <w:rFonts w:cs="Arial"/>
          <w:szCs w:val="20"/>
        </w:rPr>
        <w:t>.</w:t>
      </w:r>
      <w:r w:rsidR="00625658" w:rsidRPr="00014088">
        <w:rPr>
          <w:rFonts w:cs="Arial"/>
          <w:szCs w:val="20"/>
        </w:rPr>
        <w:t xml:space="preserve"> As such, our study design </w:t>
      </w:r>
      <w:r w:rsidR="0063539D" w:rsidRPr="00014088">
        <w:rPr>
          <w:rFonts w:cs="Arial"/>
          <w:szCs w:val="20"/>
        </w:rPr>
        <w:t xml:space="preserve">adheres to </w:t>
      </w:r>
      <w:r w:rsidR="00625658" w:rsidRPr="00014088">
        <w:rPr>
          <w:rFonts w:cs="Arial"/>
          <w:szCs w:val="20"/>
        </w:rPr>
        <w:t>the recommended best</w:t>
      </w:r>
      <w:r w:rsidR="0063539D" w:rsidRPr="00014088">
        <w:rPr>
          <w:rFonts w:cs="Arial"/>
          <w:szCs w:val="20"/>
        </w:rPr>
        <w:t xml:space="preserve"> </w:t>
      </w:r>
      <w:r w:rsidR="00625658" w:rsidRPr="00014088">
        <w:rPr>
          <w:rFonts w:cs="Arial"/>
          <w:szCs w:val="20"/>
        </w:rPr>
        <w:t xml:space="preserve">practices in </w:t>
      </w:r>
      <w:r w:rsidR="0063539D" w:rsidRPr="00014088">
        <w:rPr>
          <w:rFonts w:cs="Arial"/>
          <w:szCs w:val="20"/>
        </w:rPr>
        <w:t xml:space="preserve">evaluating </w:t>
      </w:r>
      <w:r w:rsidR="00625658" w:rsidRPr="00014088">
        <w:rPr>
          <w:rFonts w:cs="Arial"/>
          <w:szCs w:val="20"/>
        </w:rPr>
        <w:t xml:space="preserve">nutrition </w:t>
      </w:r>
      <w:r w:rsidR="0063539D" w:rsidRPr="00014088">
        <w:rPr>
          <w:rFonts w:cs="Arial"/>
          <w:szCs w:val="20"/>
        </w:rPr>
        <w:t xml:space="preserve">interventions: the impact </w:t>
      </w:r>
      <w:r w:rsidR="00625658" w:rsidRPr="00014088">
        <w:rPr>
          <w:rFonts w:cs="Arial"/>
          <w:szCs w:val="20"/>
        </w:rPr>
        <w:t>of nutrition interventions on linear growth outcomes</w:t>
      </w:r>
      <w:r w:rsidR="0063539D" w:rsidRPr="00014088">
        <w:rPr>
          <w:rFonts w:cs="Arial"/>
          <w:szCs w:val="20"/>
        </w:rPr>
        <w:t xml:space="preserve"> should be measured</w:t>
      </w:r>
      <w:r w:rsidR="00625658" w:rsidRPr="00014088">
        <w:rPr>
          <w:rFonts w:cs="Arial"/>
          <w:szCs w:val="20"/>
        </w:rPr>
        <w:t xml:space="preserve"> after 24 months of age (</w:t>
      </w:r>
      <w:r w:rsidR="00CC2C64" w:rsidRPr="00014088">
        <w:rPr>
          <w:rFonts w:cs="Arial"/>
          <w:szCs w:val="20"/>
        </w:rPr>
        <w:t xml:space="preserve">given that </w:t>
      </w:r>
      <w:r w:rsidR="00625658" w:rsidRPr="00014088">
        <w:rPr>
          <w:rFonts w:cs="Arial"/>
          <w:szCs w:val="20"/>
        </w:rPr>
        <w:t xml:space="preserve">height captures cumulative effects), while the impact on feeding practices and health behaviors should be measured before this age </w:t>
      </w:r>
      <w:r w:rsidR="00625658" w:rsidRPr="00014088">
        <w:rPr>
          <w:rFonts w:cs="Arial"/>
          <w:szCs w:val="20"/>
        </w:rPr>
        <w:fldChar w:fldCharType="begin"/>
      </w:r>
      <w:r w:rsidR="00E80670" w:rsidRPr="00014088">
        <w:rPr>
          <w:rFonts w:cs="Arial"/>
          <w:szCs w:val="20"/>
        </w:rPr>
        <w:instrText xml:space="preserve"> ADDIN EN.CITE &lt;EndNote&gt;&lt;Cite&gt;&lt;Author&gt;Leroy&lt;/Author&gt;&lt;Year&gt;2016&lt;/Year&gt;&lt;RecNum&gt;4109&lt;/RecNum&gt;&lt;DisplayText&gt;(Alderman and Headey, 2018; Leroy et al., 2016)&lt;/DisplayText&gt;&lt;record&gt;&lt;rec-number&gt;4109&lt;/rec-number&gt;&lt;foreign-keys&gt;&lt;key app="EN" db-id="9x0erf0zjf29fkerve3vt0te2rwzx959avzx" timestamp="1675325429"&gt;4109&lt;/key&gt;&lt;/foreign-keys&gt;&lt;ref-type name="Book Section"&gt;5&lt;/ref-type&gt;&lt;contributors&gt;&lt;authors&gt;&lt;author&gt;Leroy, Jef L&lt;/author&gt;&lt;author&gt;Olney, Deanna K&lt;/author&gt;&lt;author&gt;Ruel, MT&lt;/author&gt;&lt;/authors&gt;&lt;secondary-authors&gt;&lt;author&gt;Covic, N.&lt;/author&gt;&lt;author&gt;Hendriks, S. L.&lt;/author&gt;&lt;/secondary-authors&gt;&lt;/contributors&gt;&lt;titles&gt;&lt;title&gt;Evaluating nutrition-sensitive programs: challenges, methods, and opportunities&lt;/title&gt;&lt;secondary-title&gt;Achieving a nutrition revolution for Africa: the road to healthier diets and optimal nutrition&lt;/secondary-title&gt;&lt;/titles&gt;&lt;pages&gt;130-46&lt;/pages&gt;&lt;dates&gt;&lt;year&gt;2016&lt;/year&gt;&lt;/dates&gt;&lt;pub-location&gt;Washington D.C.: &lt;/pub-location&gt;&lt;publisher&gt;International Food Policy Research Institute&lt;/publisher&gt;&lt;urls&gt;&lt;/urls&gt;&lt;/record&gt;&lt;/Cite&gt;&lt;Cite&gt;&lt;Author&gt;Alderman&lt;/Author&gt;&lt;Year&gt;2018&lt;/Year&gt;&lt;RecNum&gt;3950&lt;/RecNum&gt;&lt;record&gt;&lt;rec-number&gt;3950&lt;/rec-number&gt;&lt;foreign-keys&gt;&lt;key app="EN" db-id="9x0erf0zjf29fkerve3vt0te2rwzx959avzx" timestamp="1645792472"&gt;3950&lt;/key&gt;&lt;/foreign-keys&gt;&lt;ref-type name="Journal Article"&gt;17&lt;/ref-type&gt;&lt;contributors&gt;&lt;authors&gt;&lt;author&gt;Alderman, Harold&lt;/author&gt;&lt;author&gt;Headey, Derek&lt;/author&gt;&lt;/authors&gt;&lt;/contributors&gt;&lt;titles&gt;&lt;title&gt;The timing of growth faltering has important implications for observational analyses of the underlying determinants of nutrition outcomes&lt;/title&gt;&lt;secondary-title&gt;PloS one&lt;/secondary-title&gt;&lt;/titles&gt;&lt;periodical&gt;&lt;full-title&gt;PloS one&lt;/full-title&gt;&lt;/periodical&gt;&lt;pages&gt;e0195904&lt;/pages&gt;&lt;volume&gt;13&lt;/volume&gt;&lt;number&gt;4&lt;/number&gt;&lt;dates&gt;&lt;year&gt;2018&lt;/year&gt;&lt;/dates&gt;&lt;isbn&gt;1932-6203&lt;/isbn&gt;&lt;urls&gt;&lt;/urls&gt;&lt;/record&gt;&lt;/Cite&gt;&lt;/EndNote&gt;</w:instrText>
      </w:r>
      <w:r w:rsidR="00625658" w:rsidRPr="00014088">
        <w:rPr>
          <w:rFonts w:cs="Arial"/>
          <w:szCs w:val="20"/>
        </w:rPr>
        <w:fldChar w:fldCharType="separate"/>
      </w:r>
      <w:r w:rsidR="00E80670" w:rsidRPr="00014088">
        <w:rPr>
          <w:rFonts w:cs="Arial"/>
          <w:noProof/>
          <w:szCs w:val="20"/>
        </w:rPr>
        <w:t>(Alderman and Headey, 2018; Leroy et al., 2016)</w:t>
      </w:r>
      <w:r w:rsidR="00625658" w:rsidRPr="00014088">
        <w:rPr>
          <w:rFonts w:cs="Arial"/>
          <w:szCs w:val="20"/>
        </w:rPr>
        <w:fldChar w:fldCharType="end"/>
      </w:r>
      <w:r w:rsidR="00625658" w:rsidRPr="00014088">
        <w:rPr>
          <w:rFonts w:cs="Arial"/>
          <w:szCs w:val="20"/>
        </w:rPr>
        <w:t>.</w:t>
      </w:r>
    </w:p>
    <w:p w14:paraId="3288954B" w14:textId="5F4A26A1" w:rsidR="00C87DC6" w:rsidRPr="00014088" w:rsidRDefault="00917A8B" w:rsidP="00C87DC6">
      <w:pPr>
        <w:rPr>
          <w:rFonts w:cs="Arial"/>
          <w:szCs w:val="20"/>
        </w:rPr>
      </w:pPr>
      <w:r>
        <w:rPr>
          <w:rFonts w:cs="Arial"/>
          <w:szCs w:val="20"/>
        </w:rPr>
        <w:t xml:space="preserve">Finally, </w:t>
      </w:r>
      <w:r w:rsidR="002F1B63">
        <w:rPr>
          <w:rFonts w:cs="Arial"/>
          <w:szCs w:val="20"/>
        </w:rPr>
        <w:t>the</w:t>
      </w:r>
      <w:r>
        <w:rPr>
          <w:rFonts w:cs="Arial"/>
          <w:szCs w:val="20"/>
        </w:rPr>
        <w:t xml:space="preserve"> findings </w:t>
      </w:r>
      <w:r w:rsidR="002F1B63">
        <w:rPr>
          <w:rFonts w:cs="Arial"/>
          <w:szCs w:val="20"/>
        </w:rPr>
        <w:t xml:space="preserve">of this trial </w:t>
      </w:r>
      <w:r w:rsidR="00AF787C">
        <w:rPr>
          <w:rFonts w:cs="Arial"/>
          <w:szCs w:val="20"/>
        </w:rPr>
        <w:t>also have significant policy implications,</w:t>
      </w:r>
      <w:r w:rsidR="002F1B63">
        <w:rPr>
          <w:rFonts w:cs="Arial"/>
          <w:szCs w:val="20"/>
        </w:rPr>
        <w:t xml:space="preserve"> </w:t>
      </w:r>
      <w:r>
        <w:rPr>
          <w:rFonts w:cs="Arial"/>
          <w:szCs w:val="20"/>
        </w:rPr>
        <w:t>contribut</w:t>
      </w:r>
      <w:r w:rsidR="00AF787C">
        <w:rPr>
          <w:rFonts w:cs="Arial"/>
          <w:szCs w:val="20"/>
        </w:rPr>
        <w:t xml:space="preserve">ing </w:t>
      </w:r>
      <w:r>
        <w:rPr>
          <w:rFonts w:cs="Arial"/>
          <w:szCs w:val="20"/>
        </w:rPr>
        <w:t>to social protection programming in Ethiopia and other low-income countries. W</w:t>
      </w:r>
      <w:r w:rsidR="00C87DC6" w:rsidRPr="00014088">
        <w:rPr>
          <w:rFonts w:cs="Arial"/>
          <w:szCs w:val="20"/>
        </w:rPr>
        <w:t xml:space="preserve">e </w:t>
      </w:r>
      <w:r w:rsidR="00C87DC6">
        <w:rPr>
          <w:rFonts w:cs="Arial"/>
          <w:szCs w:val="20"/>
        </w:rPr>
        <w:t>evaluate</w:t>
      </w:r>
      <w:r w:rsidR="00C87DC6" w:rsidRPr="00014088">
        <w:rPr>
          <w:rFonts w:cs="Arial"/>
          <w:szCs w:val="20"/>
        </w:rPr>
        <w:t xml:space="preserve"> the impacts of </w:t>
      </w:r>
      <w:r w:rsidR="00851F75">
        <w:rPr>
          <w:rFonts w:cs="Arial"/>
          <w:szCs w:val="20"/>
        </w:rPr>
        <w:t xml:space="preserve">a </w:t>
      </w:r>
      <w:r w:rsidR="00C87DC6" w:rsidRPr="00014088">
        <w:rPr>
          <w:rFonts w:cs="Arial"/>
          <w:szCs w:val="20"/>
        </w:rPr>
        <w:t xml:space="preserve">graduation model </w:t>
      </w:r>
      <w:r w:rsidR="00851F75">
        <w:rPr>
          <w:rFonts w:cs="Arial"/>
          <w:szCs w:val="20"/>
        </w:rPr>
        <w:t>intervention</w:t>
      </w:r>
      <w:r w:rsidR="00C87DC6" w:rsidRPr="00014088">
        <w:rPr>
          <w:rFonts w:cs="Arial"/>
          <w:szCs w:val="20"/>
        </w:rPr>
        <w:t xml:space="preserve"> within the context of an existing large-scale government-led safety net program. Launched in 2005 and providing benefits to eight million individuals, the PSNP is one of the largest safety net programs in Africa </w:t>
      </w:r>
      <w:r w:rsidR="00C87DC6" w:rsidRPr="00014088">
        <w:rPr>
          <w:rFonts w:cs="Arial"/>
          <w:szCs w:val="20"/>
        </w:rPr>
        <w:fldChar w:fldCharType="begin"/>
      </w:r>
      <w:r w:rsidR="00241994">
        <w:rPr>
          <w:rFonts w:cs="Arial"/>
          <w:szCs w:val="20"/>
        </w:rPr>
        <w:instrText xml:space="preserve"> ADDIN EN.CITE &lt;EndNote&gt;&lt;Cite&gt;&lt;Author&gt;Beegle&lt;/Author&gt;&lt;Year&gt;2018&lt;/Year&gt;&lt;RecNum&gt;2099&lt;/RecNum&gt;&lt;DisplayText&gt;(Beegle et al., 2018)&lt;/DisplayText&gt;&lt;record&gt;&lt;rec-number&gt;2099&lt;/rec-number&gt;&lt;foreign-keys&gt;&lt;key app="EN" db-id="9x0erf0zjf29fkerve3vt0te2rwzx959avzx" timestamp="1534589635"&gt;2099&lt;/key&gt;&lt;/foreign-keys&gt;&lt;ref-type name="Generic"&gt;13&lt;/ref-type&gt;&lt;contributors&gt;&lt;authors&gt;&lt;author&gt;Beegle, Kathleen&lt;/author&gt;&lt;author&gt;Coudouel, Aline&lt;/author&gt;&lt;author&gt;Monsalve, Emma&lt;/author&gt;&lt;/authors&gt;&lt;/contributors&gt;&lt;titles&gt;&lt;title&gt;Realizing the Full Potential of Social Safety Nets in Africa&lt;/title&gt;&lt;/titles&gt;&lt;dates&gt;&lt;year&gt;2018&lt;/year&gt;&lt;/dates&gt;&lt;pub-location&gt;Washington D.C.&lt;/pub-location&gt;&lt;publisher&gt;The World Bank&lt;/publisher&gt;&lt;isbn&gt;1464811644&lt;/isbn&gt;&lt;urls&gt;&lt;/urls&gt;&lt;/record&gt;&lt;/Cite&gt;&lt;/EndNote&gt;</w:instrText>
      </w:r>
      <w:r w:rsidR="00C87DC6" w:rsidRPr="00014088">
        <w:rPr>
          <w:rFonts w:cs="Arial"/>
          <w:szCs w:val="20"/>
        </w:rPr>
        <w:fldChar w:fldCharType="separate"/>
      </w:r>
      <w:r w:rsidR="00241994">
        <w:rPr>
          <w:rFonts w:cs="Arial"/>
          <w:noProof/>
          <w:szCs w:val="20"/>
        </w:rPr>
        <w:t>(Beegle et al., 2018)</w:t>
      </w:r>
      <w:r w:rsidR="00C87DC6" w:rsidRPr="00014088">
        <w:rPr>
          <w:rFonts w:cs="Arial"/>
          <w:szCs w:val="20"/>
        </w:rPr>
        <w:fldChar w:fldCharType="end"/>
      </w:r>
      <w:r>
        <w:rPr>
          <w:rFonts w:cs="Arial"/>
          <w:szCs w:val="20"/>
        </w:rPr>
        <w:t>. Meanwhile,</w:t>
      </w:r>
      <w:r w:rsidR="00C87DC6">
        <w:rPr>
          <w:rFonts w:cs="Arial"/>
          <w:szCs w:val="20"/>
        </w:rPr>
        <w:t xml:space="preserve"> SPIR itself currently serves more than 400,000 PSNP beneficiaries</w:t>
      </w:r>
      <w:r w:rsidR="00C87DC6" w:rsidRPr="00014088">
        <w:rPr>
          <w:rFonts w:cs="Arial"/>
          <w:szCs w:val="20"/>
        </w:rPr>
        <w:t xml:space="preserve">. While the </w:t>
      </w:r>
      <w:r>
        <w:rPr>
          <w:rFonts w:cs="Arial"/>
          <w:szCs w:val="20"/>
        </w:rPr>
        <w:t>PSNP</w:t>
      </w:r>
      <w:r w:rsidR="00C87DC6" w:rsidRPr="00014088">
        <w:rPr>
          <w:rFonts w:cs="Arial"/>
          <w:szCs w:val="20"/>
        </w:rPr>
        <w:t xml:space="preserve"> has been successful in improving household food security and asset levels </w:t>
      </w:r>
      <w:r w:rsidR="00C87DC6" w:rsidRPr="00014088">
        <w:rPr>
          <w:rFonts w:cs="Arial"/>
          <w:szCs w:val="20"/>
        </w:rPr>
        <w:fldChar w:fldCharType="begin"/>
      </w:r>
      <w:r w:rsidR="00C87DC6" w:rsidRPr="00014088">
        <w:rPr>
          <w:rFonts w:cs="Arial"/>
          <w:szCs w:val="20"/>
        </w:rPr>
        <w:instrText xml:space="preserve"> ADDIN EN.CITE &lt;EndNote&gt;&lt;Cite&gt;&lt;Author&gt;Hoddinott&lt;/Author&gt;&lt;Year&gt;2012&lt;/Year&gt;&lt;RecNum&gt;1424&lt;/RecNum&gt;&lt;DisplayText&gt;(Gilligan et al., 2009; Hoddinott et al., 2012)&lt;/DisplayText&gt;&lt;record&gt;&lt;rec-number&gt;1424&lt;/rec-number&gt;&lt;foreign-keys&gt;&lt;key app="EN" db-id="9x0erf0zjf29fkerve3vt0te2rwzx959avzx" timestamp="1464596824"&gt;1424&lt;/key&gt;&lt;/foreign-keys&gt;&lt;ref-type name="Journal Article"&gt;17&lt;/ref-type&gt;&lt;contributors&gt;&lt;authors&gt;&lt;author&gt;Hoddinott, John&lt;/author&gt;&lt;author&gt;Berhane, Guush&lt;/author&gt;&lt;author&gt;Gilligan, Daniel O&lt;/author&gt;&lt;author&gt;Kumar, Neha&lt;/author&gt;&lt;author&gt;Taffesse, Alemayehu Seyoum&lt;/author&gt;&lt;/authors&gt;&lt;/contributors&gt;&lt;titles&gt;&lt;title&gt;The impact of Ethiopia&amp;apos;s Productive Safety Net Programme and related transfers on agricultural productivity&lt;/title&gt;&lt;secondary-title&gt;Journal of African Economies&lt;/secondary-title&gt;&lt;/titles&gt;&lt;periodical&gt;&lt;full-title&gt;Journal of African economies&lt;/full-title&gt;&lt;/periodical&gt;&lt;pages&gt;761-786&lt;/pages&gt;&lt;volume&gt;21&lt;/volume&gt;&lt;number&gt;5&lt;/number&gt;&lt;dates&gt;&lt;year&gt;2012&lt;/year&gt;&lt;/dates&gt;&lt;isbn&gt;0963-8024&lt;/isbn&gt;&lt;urls&gt;&lt;/urls&gt;&lt;/record&gt;&lt;/Cite&gt;&lt;Cite&gt;&lt;Author&gt;Gilligan&lt;/Author&gt;&lt;Year&gt;2009&lt;/Year&gt;&lt;RecNum&gt;1423&lt;/RecNum&gt;&lt;record&gt;&lt;rec-number&gt;1423&lt;/rec-number&gt;&lt;foreign-keys&gt;&lt;key app="EN" db-id="9x0erf0zjf29fkerve3vt0te2rwzx959avzx" timestamp="1464596281"&gt;1423&lt;/key&gt;&lt;/foreign-keys&gt;&lt;ref-type name="Journal Article"&gt;17&lt;/ref-type&gt;&lt;contributors&gt;&lt;authors&gt;&lt;author&gt;Gilligan, Daniel O&lt;/author&gt;&lt;author&gt;Hoddinott, John&lt;/author&gt;&lt;author&gt;Taffesse, Alemayehu Seyoum&lt;/author&gt;&lt;/authors&gt;&lt;/contributors&gt;&lt;titles&gt;&lt;title&gt;The impact of Ethiopia&amp;apos;s Productive Safety Net Programme and its linkages&lt;/title&gt;&lt;secondary-title&gt;The Journal of Development Studies&lt;/secondary-title&gt;&lt;/titles&gt;&lt;periodical&gt;&lt;full-title&gt;The Journal of Development Studies&lt;/full-title&gt;&lt;/periodical&gt;&lt;pages&gt;1684-1706&lt;/pages&gt;&lt;volume&gt;45&lt;/volume&gt;&lt;number&gt;10&lt;/number&gt;&lt;dates&gt;&lt;year&gt;2009&lt;/year&gt;&lt;/dates&gt;&lt;isbn&gt;0022-0388&lt;/isbn&gt;&lt;urls&gt;&lt;/urls&gt;&lt;/record&gt;&lt;/Cite&gt;&lt;/EndNote&gt;</w:instrText>
      </w:r>
      <w:r w:rsidR="00C87DC6" w:rsidRPr="00014088">
        <w:rPr>
          <w:rFonts w:cs="Arial"/>
          <w:szCs w:val="20"/>
        </w:rPr>
        <w:fldChar w:fldCharType="separate"/>
      </w:r>
      <w:r w:rsidR="00C87DC6" w:rsidRPr="00014088">
        <w:rPr>
          <w:rFonts w:cs="Arial"/>
          <w:noProof/>
          <w:szCs w:val="20"/>
        </w:rPr>
        <w:t>(Gilligan et al., 2009; Hoddinott et al., 2012)</w:t>
      </w:r>
      <w:r w:rsidR="00C87DC6" w:rsidRPr="00014088">
        <w:rPr>
          <w:rFonts w:cs="Arial"/>
          <w:szCs w:val="20"/>
        </w:rPr>
        <w:fldChar w:fldCharType="end"/>
      </w:r>
      <w:r w:rsidR="00C87DC6" w:rsidRPr="00014088">
        <w:rPr>
          <w:rFonts w:cs="Arial"/>
          <w:szCs w:val="20"/>
        </w:rPr>
        <w:t xml:space="preserve">, observational and quasi-experimental evidence suggests that its impacts on child diets and anthropometric outcomes have been negligible </w:t>
      </w:r>
      <w:r w:rsidR="00C87DC6" w:rsidRPr="00014088">
        <w:rPr>
          <w:rFonts w:cs="Arial"/>
          <w:szCs w:val="20"/>
        </w:rPr>
        <w:fldChar w:fldCharType="begin"/>
      </w:r>
      <w:r w:rsidR="00C87DC6" w:rsidRPr="00014088">
        <w:rPr>
          <w:rFonts w:cs="Arial"/>
          <w:szCs w:val="20"/>
        </w:rPr>
        <w:instrText xml:space="preserve"> ADDIN EN.CITE &lt;EndNote&gt;&lt;Cite&gt;&lt;Author&gt;Berhane&lt;/Author&gt;&lt;Year&gt;2017&lt;/Year&gt;&lt;RecNum&gt;1848&lt;/RecNum&gt;&lt;DisplayText&gt;(Berhane et al., 2017; Berhane et al., 2015)&lt;/DisplayText&gt;&lt;record&gt;&lt;rec-number&gt;1848&lt;/rec-number&gt;&lt;foreign-keys&gt;&lt;key app="EN" db-id="9x0erf0zjf29fkerve3vt0te2rwzx959avzx" timestamp="1507012692"&gt;1848&lt;/key&gt;&lt;/foreign-keys&gt;&lt;ref-type name="Report"&gt;27&lt;/ref-type&gt;&lt;contributors&gt;&lt;authors&gt;&lt;author&gt;Guush Berhane&lt;/author&gt;&lt;author&gt;Kalle Hirvonen&lt;/author&gt;&lt;author&gt;John Hoddinott&lt;/author&gt;&lt;author&gt;Sunny Kim&lt;/author&gt;&lt;author&gt;Alemayehu Seyoum Taffesse&lt;/author&gt;&lt;author&gt;Kibrewossen Abay&lt;/author&gt;&lt;author&gt;Mehari Hiluf&lt;/author&gt;&lt;author&gt;Bethelem Koru&lt;/author&gt;&lt;author&gt;Thomas Assefa&lt;/author&gt;&lt;author&gt;Feiruz Yimer&lt;/author&gt;&lt;/authors&gt;&lt;/contributors&gt;&lt;titles&gt;&lt;title&gt;Evaluation of the Nutrition Sensitive Features of the Productive Safety Nets Programme IV: Baseline Survey Report&lt;/title&gt;&lt;secondary-title&gt;Unpublished report&lt;/secondary-title&gt;&lt;/titles&gt;&lt;periodical&gt;&lt;full-title&gt;Unpublished report&lt;/full-title&gt;&lt;/periodical&gt;&lt;dates&gt;&lt;year&gt;2017&lt;/year&gt;&lt;/dates&gt;&lt;urls&gt;&lt;/urls&gt;&lt;/record&gt;&lt;/Cite&gt;&lt;Cite&gt;&lt;Author&gt;Berhane&lt;/Author&gt;&lt;Year&gt;2015&lt;/Year&gt;&lt;RecNum&gt;1274&lt;/RecNum&gt;&lt;record&gt;&lt;rec-number&gt;1274&lt;/rec-number&gt;&lt;foreign-keys&gt;&lt;key app="EN" db-id="9x0erf0zjf29fkerve3vt0te2rwzx959avzx" timestamp="0"&gt;1274&lt;/key&gt;&lt;/foreign-keys&gt;&lt;ref-type name="Electronic Article"&gt;43&lt;/ref-type&gt;&lt;contributors&gt;&lt;authors&gt;&lt;author&gt;Berhane, Guush&lt;/author&gt;&lt;author&gt;Hoddinott, John&lt;/author&gt;&lt;author&gt;Kumar, Neha&lt;/author&gt;&lt;author&gt;Margolies, Amy&lt;/author&gt;&lt;/authors&gt;&lt;/contributors&gt;&lt;titles&gt;&lt;title&gt;The impact of Ethiopia’s Productive Safety Net Programme on the nutritional status of children: 2008–2012&lt;/title&gt;&lt;secondary-title&gt;IFPRI-ESSP working paper&lt;/secondary-title&gt;&lt;/titles&gt;&lt;periodical&gt;&lt;full-title&gt;IFPRI-ESSP working paper&lt;/full-title&gt;&lt;/periodical&gt;&lt;volume&gt;99&lt;/volume&gt;&lt;dates&gt;&lt;year&gt;2015&lt;/year&gt;&lt;/dates&gt;&lt;pub-location&gt;Washington D.C.&lt;/pub-location&gt;&lt;publisher&gt;International Food Policy Research Institute (IFPRI)&lt;/publisher&gt;&lt;urls&gt;&lt;/urls&gt;&lt;/record&gt;&lt;/Cite&gt;&lt;/EndNote&gt;</w:instrText>
      </w:r>
      <w:r w:rsidR="00C87DC6" w:rsidRPr="00014088">
        <w:rPr>
          <w:rFonts w:cs="Arial"/>
          <w:szCs w:val="20"/>
        </w:rPr>
        <w:fldChar w:fldCharType="separate"/>
      </w:r>
      <w:r w:rsidR="00C87DC6" w:rsidRPr="00014088">
        <w:rPr>
          <w:rFonts w:cs="Arial"/>
          <w:noProof/>
          <w:szCs w:val="20"/>
        </w:rPr>
        <w:t>(Berhane et al., 2017; Berhane et al., 2015)</w:t>
      </w:r>
      <w:r w:rsidR="00C87DC6" w:rsidRPr="00014088">
        <w:rPr>
          <w:rFonts w:cs="Arial"/>
          <w:szCs w:val="20"/>
        </w:rPr>
        <w:fldChar w:fldCharType="end"/>
      </w:r>
      <w:r w:rsidR="00C87DC6" w:rsidRPr="00014088">
        <w:rPr>
          <w:rFonts w:cs="Arial"/>
          <w:szCs w:val="20"/>
        </w:rPr>
        <w:t xml:space="preserve">. In addition, to date, the </w:t>
      </w:r>
      <w:r>
        <w:rPr>
          <w:rFonts w:cs="Arial"/>
          <w:szCs w:val="20"/>
        </w:rPr>
        <w:t>PSNP</w:t>
      </w:r>
      <w:r w:rsidR="00C87DC6" w:rsidRPr="00014088">
        <w:rPr>
          <w:rFonts w:cs="Arial"/>
          <w:szCs w:val="20"/>
        </w:rPr>
        <w:t xml:space="preserve"> has demonstrated limited ability to achieve sustained graduation </w:t>
      </w:r>
      <w:r w:rsidR="00C87DC6" w:rsidRPr="00014088">
        <w:rPr>
          <w:rFonts w:cs="Arial"/>
          <w:szCs w:val="20"/>
        </w:rPr>
        <w:lastRenderedPageBreak/>
        <w:t xml:space="preserve">out of long-term support </w:t>
      </w:r>
      <w:r w:rsidR="00C87DC6" w:rsidRPr="00014088">
        <w:rPr>
          <w:rFonts w:cs="Arial"/>
          <w:szCs w:val="20"/>
        </w:rPr>
        <w:fldChar w:fldCharType="begin"/>
      </w:r>
      <w:r w:rsidR="00C87DC6" w:rsidRPr="0039648E">
        <w:rPr>
          <w:rFonts w:cs="Arial"/>
          <w:szCs w:val="20"/>
        </w:rPr>
        <w:instrText xml:space="preserve"> ADDIN EN.CITE &lt;EndNote&gt;&lt;Cite&gt;&lt;Author&gt;Sabates</w:instrText>
      </w:r>
      <w:r w:rsidR="00C87DC6" w:rsidRPr="0039648E">
        <w:rPr>
          <w:rFonts w:ascii="Cambria Math" w:hAnsi="Cambria Math" w:cs="Cambria Math"/>
          <w:szCs w:val="20"/>
        </w:rPr>
        <w:instrText>‐</w:instrText>
      </w:r>
      <w:r w:rsidR="00C87DC6" w:rsidRPr="0039648E">
        <w:rPr>
          <w:rFonts w:cs="Arial"/>
          <w:szCs w:val="20"/>
        </w:rPr>
        <w:instrText>Wheeler&lt;/Author&gt;&lt;Year&gt;2021&lt;/Year&gt;&lt;RecNum&gt;3949&lt;/RecNum&gt;&lt;DisplayText&gt;(Sabates</w:instrText>
      </w:r>
      <w:r w:rsidR="00C87DC6" w:rsidRPr="0039648E">
        <w:rPr>
          <w:rFonts w:ascii="Cambria Math" w:hAnsi="Cambria Math" w:cs="Cambria Math"/>
          <w:szCs w:val="20"/>
        </w:rPr>
        <w:instrText>‐</w:instrText>
      </w:r>
      <w:r w:rsidR="00C87DC6" w:rsidRPr="0039648E">
        <w:rPr>
          <w:rFonts w:cs="Arial"/>
          <w:szCs w:val="20"/>
        </w:rPr>
        <w:instrText>Wheeler et al., 2021)&lt;/DisplayText&gt;&lt;record&gt;&lt;rec-number&gt;3949&lt;/rec-number&gt;&lt;foreign-keys&gt;&lt;key app="EN" db-id="9x0erf0zjf29fkerve3vt0te2rwzx959avzx" timestamp="1645792410"&gt;3949&lt;/key&gt;&lt;/foreign-keys&gt;&lt;ref-type name="Journal Article"&gt;17&lt;/ref-type&gt;&lt;contributors&gt;&lt;authors&gt;&lt;author&gt;Sabates</w:instrText>
      </w:r>
      <w:r w:rsidR="00C87DC6" w:rsidRPr="0039648E">
        <w:rPr>
          <w:rFonts w:ascii="Cambria Math" w:hAnsi="Cambria Math" w:cs="Cambria Math"/>
          <w:szCs w:val="20"/>
        </w:rPr>
        <w:instrText>‐</w:instrText>
      </w:r>
      <w:r w:rsidR="00C87DC6" w:rsidRPr="0039648E">
        <w:rPr>
          <w:rFonts w:cs="Arial"/>
          <w:szCs w:val="20"/>
        </w:rPr>
        <w:instrText>Wheeler, Rachel&lt;/author&gt;&lt;author&gt;Lind, Jeremy&lt;/author&gt;&lt;author&gt;Hoddinott, John&lt;/author&gt;&lt;author&gt;Tefera Taye, Mulu</w:instrText>
      </w:r>
      <w:r w:rsidR="00C87DC6" w:rsidRPr="00014088">
        <w:rPr>
          <w:rFonts w:cs="Arial"/>
          <w:szCs w:val="20"/>
        </w:rPr>
        <w:instrText>geta&lt;/author&gt;&lt;/authors&gt;&lt;/contributors&gt;&lt;titles&gt;&lt;title&gt;Graduation after 10 years of Ethiopia’s Productive Safety Net Programme: Surviving but still not thriving&lt;/title&gt;&lt;secondary-title&gt;Development Policy Review&lt;/secondary-title&gt;&lt;/titles&gt;&lt;periodical&gt;&lt;full-title&gt;Development Policy Review&lt;/full-title&gt;&lt;/periodical&gt;&lt;pages&gt;511-531&lt;/pages&gt;&lt;volume&gt;39&lt;/volume&gt;&lt;number&gt;4&lt;/number&gt;&lt;dates&gt;&lt;year&gt;2021&lt;/year&gt;&lt;/dates&gt;&lt;isbn&gt;0950-6764&lt;/isbn&gt;&lt;urls&gt;&lt;/urls&gt;&lt;/record&gt;&lt;/Cite&gt;&lt;/EndNote&gt;</w:instrText>
      </w:r>
      <w:r w:rsidR="00C87DC6" w:rsidRPr="00014088">
        <w:rPr>
          <w:rFonts w:cs="Arial"/>
          <w:szCs w:val="20"/>
        </w:rPr>
        <w:fldChar w:fldCharType="separate"/>
      </w:r>
      <w:r w:rsidR="00C87DC6" w:rsidRPr="0039648E">
        <w:rPr>
          <w:rFonts w:cs="Arial"/>
          <w:noProof/>
          <w:szCs w:val="20"/>
        </w:rPr>
        <w:t>(Sabates</w:t>
      </w:r>
      <w:r w:rsidR="00C87DC6" w:rsidRPr="0039648E">
        <w:rPr>
          <w:rFonts w:ascii="Cambria Math" w:hAnsi="Cambria Math" w:cs="Cambria Math"/>
          <w:noProof/>
          <w:szCs w:val="20"/>
        </w:rPr>
        <w:t>‐</w:t>
      </w:r>
      <w:r w:rsidR="00C87DC6" w:rsidRPr="0039648E">
        <w:rPr>
          <w:rFonts w:cs="Arial"/>
          <w:noProof/>
          <w:szCs w:val="20"/>
        </w:rPr>
        <w:t>Wheeler et al., 2021)</w:t>
      </w:r>
      <w:r w:rsidR="00C87DC6" w:rsidRPr="00014088">
        <w:rPr>
          <w:rFonts w:cs="Arial"/>
          <w:szCs w:val="20"/>
        </w:rPr>
        <w:fldChar w:fldCharType="end"/>
      </w:r>
      <w:r w:rsidR="00C87DC6" w:rsidRPr="00014088">
        <w:rPr>
          <w:rFonts w:cs="Arial"/>
          <w:szCs w:val="20"/>
        </w:rPr>
        <w:t xml:space="preserve">. Consequently, the lessons from this trial have the potential to inform the future design of the PSNP and, if needed, can be </w:t>
      </w:r>
      <w:r w:rsidR="00977C26">
        <w:rPr>
          <w:rFonts w:cs="Arial"/>
          <w:szCs w:val="20"/>
        </w:rPr>
        <w:t xml:space="preserve">rapidly </w:t>
      </w:r>
      <w:r w:rsidR="00C87DC6" w:rsidRPr="00014088">
        <w:rPr>
          <w:rFonts w:cs="Arial"/>
          <w:szCs w:val="20"/>
        </w:rPr>
        <w:t xml:space="preserve">scaled. </w:t>
      </w:r>
    </w:p>
    <w:p w14:paraId="765BEE00" w14:textId="7051E4B3" w:rsidR="00334DF2" w:rsidRDefault="00334DF2" w:rsidP="00A11C14">
      <w:pPr>
        <w:pStyle w:val="Heading1"/>
        <w:numPr>
          <w:ilvl w:val="0"/>
          <w:numId w:val="3"/>
        </w:numPr>
      </w:pPr>
      <w:bookmarkStart w:id="23" w:name="_lnxbz9" w:colFirst="0" w:colLast="0"/>
      <w:bookmarkStart w:id="24" w:name="_Toc519758676"/>
      <w:bookmarkStart w:id="25" w:name="_Toc126582976"/>
      <w:bookmarkEnd w:id="23"/>
      <w:r w:rsidRPr="00B03A96">
        <w:t>Research Design</w:t>
      </w:r>
      <w:bookmarkEnd w:id="24"/>
      <w:bookmarkEnd w:id="25"/>
    </w:p>
    <w:p w14:paraId="7FDCD6E4" w14:textId="77777777" w:rsidR="0075309C" w:rsidRDefault="0075309C" w:rsidP="0075309C">
      <w:pPr>
        <w:pStyle w:val="Heading2"/>
      </w:pPr>
      <w:r w:rsidRPr="009E45C9">
        <w:t>Intervention</w:t>
      </w:r>
      <w:r>
        <w:t>s</w:t>
      </w:r>
    </w:p>
    <w:p w14:paraId="562CE01D" w14:textId="78B6FA14" w:rsidR="0075309C" w:rsidRDefault="0075309C" w:rsidP="0075309C">
      <w:r>
        <w:t xml:space="preserve">The SPIR program is implemented by </w:t>
      </w:r>
      <w:r w:rsidRPr="000A0F0E">
        <w:t>World Vision International (lead), CARE, and ORDA.</w:t>
      </w:r>
      <w:r>
        <w:rPr>
          <w:rStyle w:val="FootnoteReference"/>
        </w:rPr>
        <w:footnoteReference w:id="7"/>
      </w:r>
      <w:r>
        <w:t xml:space="preserve"> The focus of this study is innovations in nutrition-related programming that will be implemented as part of SPIR II; these innovations center around enhancing infant </w:t>
      </w:r>
      <w:r w:rsidRPr="00BE4396">
        <w:t>and young child feeding (IYCF) practices</w:t>
      </w:r>
      <w:r>
        <w:t xml:space="preserve">, </w:t>
      </w:r>
      <w:r w:rsidRPr="00BE4396">
        <w:t xml:space="preserve">particularly suboptimal complementary feeding practices that have been widely speculated to be inhibiting child growth and development in Ethiopia </w:t>
      </w:r>
      <w:r w:rsidRPr="00BE4396">
        <w:fldChar w:fldCharType="begin"/>
      </w:r>
      <w:r>
        <w:instrText xml:space="preserve"> ADDIN EN.CITE &lt;EndNote&gt;&lt;Cite&gt;&lt;Author&gt;Golan&lt;/Author&gt;&lt;Year&gt;2019&lt;/Year&gt;&lt;RecNum&gt;2015&lt;/RecNum&gt;&lt;DisplayText&gt;(Golan et al., 2019)&lt;/DisplayText&gt;&lt;record&gt;&lt;rec-number&gt;2015&lt;/rec-number&gt;&lt;foreign-keys&gt;&lt;key app="EN" db-id="9x0erf0zjf29fkerve3vt0te2rwzx959avzx" timestamp="1527499347"&gt;2015&lt;/key&gt;&lt;/foreign-keys&gt;&lt;ref-type name="Book Section"&gt;5&lt;/ref-type&gt;&lt;contributors&gt;&lt;authors&gt;&lt;author&gt;Golan, Jenna&lt;/author&gt;&lt;author&gt;Headey, Derek&lt;/author&gt;&lt;author&gt;Hirvonen, Kalle&lt;/author&gt;&lt;author&gt;Hoddinott, John&lt;/author&gt;&lt;/authors&gt;&lt;secondary-authors&gt;&lt;author&gt;Christopher Cramer&lt;/author&gt;&lt;author&gt;Fantu Cheru&lt;/author&gt;&lt;author&gt;Arkebe Oqubay&lt;/author&gt;&lt;/secondary-authors&gt;&lt;/contributors&gt;&lt;titles&gt;&lt;title&gt;Changes in child undernutrition rates in Ethiopia, 2000-16&lt;/title&gt;&lt;secondary-title&gt;The Oxford Handbook of the Ethiopian Economy&lt;/secondary-title&gt;&lt;/titles&gt;&lt;section&gt;22&lt;/section&gt;&lt;dates&gt;&lt;year&gt;2019&lt;/year&gt;&lt;/dates&gt;&lt;pub-location&gt;Oxford&lt;/pub-location&gt;&lt;publisher&gt;Oxford University Press&lt;/publisher&gt;&lt;urls&gt;&lt;/urls&gt;&lt;/record&gt;&lt;/Cite&gt;&lt;/EndNote&gt;</w:instrText>
      </w:r>
      <w:r w:rsidRPr="00BE4396">
        <w:fldChar w:fldCharType="separate"/>
      </w:r>
      <w:r>
        <w:rPr>
          <w:noProof/>
        </w:rPr>
        <w:t>(Golan et al., 2019)</w:t>
      </w:r>
      <w:r w:rsidRPr="00BE4396">
        <w:fldChar w:fldCharType="end"/>
      </w:r>
      <w:r w:rsidRPr="00BE4396">
        <w:t xml:space="preserve">. The Nurturing Care </w:t>
      </w:r>
      <w:r>
        <w:t xml:space="preserve">Group (NCG) model, pioneered by World Vision in a wide range of other contexts, is based on groups of 10–15 community-based trained volunteer agents who cascade down BCC messages and activities to caregiver groups at the community level. Non-experimental studies conducted in other contexts suggest that the model can significantly increase BCC contact rates and improve IYCF practices and child growth outcomes </w:t>
      </w:r>
      <w:r w:rsidRPr="00BE4396">
        <w:fldChar w:fldCharType="begin"/>
      </w:r>
      <w:r>
        <w:instrText xml:space="preserve"> ADDIN EN.CITE &lt;EndNote&gt;&lt;Cite&gt;&lt;Author&gt;Davis&lt;/Author&gt;&lt;Year&gt;2013&lt;/Year&gt;&lt;RecNum&gt;3952&lt;/RecNum&gt;&lt;DisplayText&gt;(Davis et al., 2013)&lt;/DisplayText&gt;&lt;record&gt;&lt;rec-number&gt;3952&lt;/rec-number&gt;&lt;foreign-keys&gt;&lt;key app="EN" db-id="9x0erf0zjf29fkerve3vt0te2rwzx959avzx" timestamp="1645792903"&gt;3952&lt;/key&gt;&lt;/foreign-keys&gt;&lt;ref-type name="Journal Article"&gt;17&lt;/ref-type&gt;&lt;contributors&gt;&lt;authors&gt;&lt;author&gt;Davis, Thomas P&lt;/author&gt;&lt;author&gt;Wetzel, Carolyn&lt;/author&gt;&lt;author&gt;Avilan, Emma Hernandez&lt;/author&gt;&lt;author&gt;de Mendoza Lopes, Cecilia&lt;/author&gt;&lt;author&gt;Chase, Rachel P&lt;/author&gt;&lt;author&gt;Winch, Peter J&lt;/author&gt;&lt;author&gt;Perry, Henry B&lt;/author&gt;&lt;/authors&gt;&lt;/contributors&gt;&lt;titles&gt;&lt;title&gt;Reducing child global undernutrition at scale in Sofala Province, Mozambique, using Care Group Volunteers to communicate health messages to mothers&lt;/title&gt;&lt;secondary-title&gt;Global Health: Science and Practice&lt;/secondary-title&gt;&lt;/titles&gt;&lt;periodical&gt;&lt;full-title&gt;Global Health: Science and Practice&lt;/full-title&gt;&lt;/periodical&gt;&lt;pages&gt;35-51&lt;/pages&gt;&lt;volume&gt;1&lt;/volume&gt;&lt;number&gt;1&lt;/number&gt;&lt;dates&gt;&lt;year&gt;2013&lt;/year&gt;&lt;/dates&gt;&lt;isbn&gt;2169-575X&lt;/isbn&gt;&lt;urls&gt;&lt;/urls&gt;&lt;/record&gt;&lt;/Cite&gt;&lt;/EndNote&gt;</w:instrText>
      </w:r>
      <w:r w:rsidRPr="00BE4396">
        <w:fldChar w:fldCharType="separate"/>
      </w:r>
      <w:r>
        <w:rPr>
          <w:noProof/>
        </w:rPr>
        <w:t>(Davis et al., 2013)</w:t>
      </w:r>
      <w:r w:rsidRPr="00BE4396">
        <w:fldChar w:fldCharType="end"/>
      </w:r>
      <w:r w:rsidRPr="00BE4396">
        <w:t>. However</w:t>
      </w:r>
      <w:r>
        <w:t xml:space="preserve">, </w:t>
      </w:r>
      <w:sdt>
        <w:sdtPr>
          <w:tag w:val="goog_rdk_5"/>
          <w:id w:val="-1353566119"/>
        </w:sdtPr>
        <w:sdtContent/>
      </w:sdt>
      <w:r>
        <w:t>large-scale experimental evidence on the effectiveness of this strategy relative to standard government-led nutrition programming is largely unavailable.</w:t>
      </w:r>
      <w:r>
        <w:rPr>
          <w:rStyle w:val="FootnoteReference"/>
        </w:rPr>
        <w:footnoteReference w:id="8"/>
      </w:r>
      <w:r>
        <w:t xml:space="preserve"> </w:t>
      </w:r>
    </w:p>
    <w:p w14:paraId="129E98F9" w14:textId="77777777" w:rsidR="0075309C" w:rsidRDefault="0075309C" w:rsidP="0075309C">
      <w:r>
        <w:t xml:space="preserve">In addition, improving caregiver knowledge may not be sufficient to improve complementary feeding practices if households cannot afford to purchase nutritious foods. Therefore, one study arm supplements the NCGs with the introduction of maternal grants of $20 monthly for a period of 24 months to relax possible financial constraints to child feeding; the 24-month period is initiated when the NCG groups are launched.  (Considering the baseline consumption estimates of around $160 monthly per household, the transfers correspond to around 13 percent of monthly consumption.) Given the sampling strategy, households in the sample may be in their final months of pregnancy or have an infant up to 9 months upon receipt of the first cash payment. </w:t>
      </w:r>
    </w:p>
    <w:p w14:paraId="695F332A" w14:textId="5D2E088C" w:rsidR="0075309C" w:rsidRDefault="0075309C" w:rsidP="0075309C">
      <w:r>
        <w:t xml:space="preserve">All households included in NCGs and receiving grants will also be exposed to core SPIR graduation programming. This includes the organization of village economic and social associations (VESAs), used as a platform for general financial </w:t>
      </w:r>
      <w:proofErr w:type="gramStart"/>
      <w:r>
        <w:t>trainings</w:t>
      </w:r>
      <w:proofErr w:type="gramEnd"/>
      <w:r>
        <w:t xml:space="preserve">, and access to targeted value chain trainings for households entering new productive sectors. A subset of eligible households (33 percent) is also targeted for </w:t>
      </w:r>
      <w:proofErr w:type="gramStart"/>
      <w:r>
        <w:t>one</w:t>
      </w:r>
      <w:proofErr w:type="gramEnd"/>
      <w:r>
        <w:t xml:space="preserve">-time $300 livelihoods grant. In addition, nutrition programming centers around the provision of integrated nutrition BCC as well as water, sanitation, and health (WASH) activities. </w:t>
      </w:r>
    </w:p>
    <w:p w14:paraId="17D91423" w14:textId="55AD2950" w:rsidR="00C87DC6" w:rsidRPr="00AE2129" w:rsidRDefault="00C87DC6" w:rsidP="00C87DC6">
      <w:pPr>
        <w:rPr>
          <w:rFonts w:cs="Arial"/>
          <w:szCs w:val="20"/>
        </w:rPr>
      </w:pPr>
      <w:r w:rsidRPr="00AE2129">
        <w:rPr>
          <w:rFonts w:cs="Arial"/>
          <w:szCs w:val="20"/>
        </w:rPr>
        <w:t xml:space="preserve">Evidence from a previous trial conducted as part of the first phase of SPIR shows that an integrated set of interventions including village savings’ associations, training, one-time grants of $200, and nutrition behavioral change counseling delivered by community health </w:t>
      </w:r>
      <w:r w:rsidR="0080443C">
        <w:rPr>
          <w:rFonts w:cs="Arial"/>
          <w:szCs w:val="20"/>
        </w:rPr>
        <w:t xml:space="preserve">extension </w:t>
      </w:r>
      <w:r w:rsidRPr="00AE2129">
        <w:rPr>
          <w:rFonts w:cs="Arial"/>
          <w:szCs w:val="20"/>
        </w:rPr>
        <w:t>workers</w:t>
      </w:r>
      <w:r w:rsidRPr="00AE2129">
        <w:rPr>
          <w:rStyle w:val="FootnoteReference"/>
          <w:rFonts w:cs="Arial"/>
          <w:szCs w:val="20"/>
        </w:rPr>
        <w:footnoteReference w:id="9"/>
      </w:r>
      <w:r w:rsidRPr="00AE2129">
        <w:rPr>
          <w:rFonts w:cs="Arial"/>
          <w:szCs w:val="20"/>
        </w:rPr>
        <w:t xml:space="preserve"> had significant medium-term effects on household savings and livestock income and some small effects on households’ asset stocks over the first three years, but did not generate any statistically significant effects on household consumption, food security, or nutritional outcomes </w:t>
      </w:r>
      <w:r w:rsidRPr="00AE2129">
        <w:rPr>
          <w:rFonts w:cs="Arial"/>
          <w:szCs w:val="20"/>
        </w:rPr>
        <w:fldChar w:fldCharType="begin"/>
      </w:r>
      <w:r w:rsidRPr="00AE2129">
        <w:rPr>
          <w:rFonts w:cs="Arial"/>
          <w:szCs w:val="20"/>
        </w:rPr>
        <w:instrText xml:space="preserve"> ADDIN EN.CITE &lt;EndNote&gt;&lt;Cite&gt;&lt;Author&gt;Alderman&lt;/Author&gt;&lt;Year&gt;2021&lt;/Year&gt;&lt;RecNum&gt;4104&lt;/RecNum&gt;&lt;DisplayText&gt;(Alderman et al., 2021)&lt;/DisplayText&gt;&lt;record&gt;&lt;rec-number&gt;4104&lt;/rec-number&gt;&lt;foreign-keys&gt;&lt;key app="EN" db-id="9x0erf0zjf29fkerve3vt0te2rwzx959avzx" timestamp="1675254877"&gt;4104&lt;/key&gt;&lt;/foreign-keys&gt;&lt;ref-type name="Report"&gt;27&lt;/ref-type&gt;&lt;contributors&gt;&lt;authors&gt;&lt;author&gt;Alderman, Harold&lt;/author&gt;&lt;author&gt;Billings, Lucy&lt;/author&gt;&lt;author&gt;Gilligan, Daniel O.&lt;/author&gt;&lt;author&gt;Hidrobo, Melissa&lt;/author&gt;&lt;author&gt;Leight, Jessica&lt;/author&gt;&lt;author&gt;Taffesse, Alemayehu Seyoum&lt;/author&gt;&lt;author&gt;Tambet, Heleene&lt;/author&gt;&lt;/authors&gt;&lt;/contributors&gt;&lt;titles&gt;&lt;title&gt;Impact evaluation of the strengthen PSNP4 institutions and resilience (SPIR) development food security activity (DFSA): Endline report&lt;/title&gt;&lt;/titles&gt;&lt;dates&gt;&lt;year&gt;2021&lt;/year&gt;&lt;/dates&gt;&lt;pub-location&gt;Washington D.C.&lt;/pub-location&gt;&lt;publisher&gt;International Food Policy Research Institute (IFPRI)&lt;/publisher&gt;&lt;urls&gt;&lt;related-urls&gt;&lt;url&gt;https://ebrary.ifpri.org/digital/collection/p15738coll5/id/8084&lt;/url&gt;&lt;/related-urls&gt;&lt;/urls&gt;&lt;/record&gt;&lt;/Cite&gt;&lt;/EndNote&gt;</w:instrText>
      </w:r>
      <w:r w:rsidRPr="00AE2129">
        <w:rPr>
          <w:rFonts w:cs="Arial"/>
          <w:szCs w:val="20"/>
        </w:rPr>
        <w:fldChar w:fldCharType="separate"/>
      </w:r>
      <w:r w:rsidRPr="00AE2129">
        <w:rPr>
          <w:rFonts w:cs="Arial"/>
          <w:noProof/>
          <w:szCs w:val="20"/>
        </w:rPr>
        <w:t>(Alderman et al., 2021)</w:t>
      </w:r>
      <w:r w:rsidRPr="00AE2129">
        <w:rPr>
          <w:rFonts w:cs="Arial"/>
          <w:szCs w:val="20"/>
        </w:rPr>
        <w:fldChar w:fldCharType="end"/>
      </w:r>
      <w:r w:rsidRPr="00AE2129">
        <w:rPr>
          <w:rFonts w:cs="Arial"/>
          <w:szCs w:val="20"/>
        </w:rPr>
        <w:t xml:space="preserve">. This suggests that a more </w:t>
      </w:r>
      <w:r w:rsidRPr="00AE2129">
        <w:rPr>
          <w:rFonts w:cs="Arial"/>
          <w:szCs w:val="20"/>
        </w:rPr>
        <w:lastRenderedPageBreak/>
        <w:t xml:space="preserve">robust and explicit focus on challenges linked to infant and young child nutrition may be required to effectively shift these outcomes. </w:t>
      </w:r>
    </w:p>
    <w:p w14:paraId="043AC0A2" w14:textId="37FBE84A" w:rsidR="0075309C" w:rsidRDefault="0075309C" w:rsidP="0075309C">
      <w:pPr>
        <w:rPr>
          <w:rFonts w:cstheme="minorHAnsi"/>
        </w:rPr>
      </w:pPr>
      <w:r>
        <w:rPr>
          <w:rFonts w:cstheme="minorHAnsi"/>
        </w:rPr>
        <w:t xml:space="preserve">The </w:t>
      </w:r>
      <w:r w:rsidR="001941B7">
        <w:rPr>
          <w:rFonts w:cstheme="minorHAnsi"/>
        </w:rPr>
        <w:t>study clusters (kebeles) are</w:t>
      </w:r>
      <w:r>
        <w:rPr>
          <w:rFonts w:cstheme="minorHAnsi"/>
        </w:rPr>
        <w:t xml:space="preserve"> randomly assigned into </w:t>
      </w:r>
      <w:r w:rsidRPr="00497A67">
        <w:rPr>
          <w:rFonts w:cstheme="minorHAnsi"/>
        </w:rPr>
        <w:t xml:space="preserve">three </w:t>
      </w:r>
      <w:r>
        <w:rPr>
          <w:rFonts w:cstheme="minorHAnsi"/>
        </w:rPr>
        <w:t xml:space="preserve">(non-overlapping) </w:t>
      </w:r>
      <w:r w:rsidRPr="00497A67">
        <w:rPr>
          <w:rFonts w:cstheme="minorHAnsi"/>
        </w:rPr>
        <w:t>study arms</w:t>
      </w:r>
      <w:r w:rsidR="001941B7">
        <w:rPr>
          <w:rFonts w:cstheme="minorHAnsi"/>
        </w:rPr>
        <w:t xml:space="preserve">. Table 1 maps the study arms against the interventions.  </w:t>
      </w:r>
    </w:p>
    <w:p w14:paraId="15EF34F1" w14:textId="5D1CC95A" w:rsidR="001941B7" w:rsidRDefault="001941B7" w:rsidP="001941B7">
      <w:pPr>
        <w:pStyle w:val="Caption"/>
      </w:pPr>
      <w:r w:rsidRPr="004800C8">
        <w:t xml:space="preserve">Table </w:t>
      </w:r>
      <w:fldSimple w:instr=" SEQ Table \* ARABIC ">
        <w:r w:rsidR="00F534DC">
          <w:rPr>
            <w:noProof/>
          </w:rPr>
          <w:t>1</w:t>
        </w:r>
      </w:fldSimple>
      <w:r w:rsidRPr="004800C8">
        <w:t xml:space="preserve">. </w:t>
      </w:r>
      <w:r>
        <w:t>Study arms and intervention</w:t>
      </w:r>
      <w:r w:rsidR="00F14F70">
        <w:t xml:space="preserve"> packages</w:t>
      </w:r>
    </w:p>
    <w:tbl>
      <w:tblPr>
        <w:tblW w:w="6804" w:type="dxa"/>
        <w:tblLayout w:type="fixed"/>
        <w:tblLook w:val="04A0" w:firstRow="1" w:lastRow="0" w:firstColumn="1" w:lastColumn="0" w:noHBand="0" w:noVBand="1"/>
      </w:tblPr>
      <w:tblGrid>
        <w:gridCol w:w="3344"/>
        <w:gridCol w:w="1153"/>
        <w:gridCol w:w="1153"/>
        <w:gridCol w:w="1154"/>
      </w:tblGrid>
      <w:tr w:rsidR="001941B7" w:rsidRPr="001941B7" w14:paraId="7C449CC2" w14:textId="77777777" w:rsidTr="00AE2129">
        <w:trPr>
          <w:trHeight w:val="288"/>
        </w:trPr>
        <w:tc>
          <w:tcPr>
            <w:tcW w:w="3344" w:type="dxa"/>
            <w:tcBorders>
              <w:top w:val="single" w:sz="12" w:space="0" w:color="auto"/>
              <w:left w:val="nil"/>
              <w:bottom w:val="single" w:sz="4" w:space="0" w:color="auto"/>
              <w:right w:val="nil"/>
            </w:tcBorders>
            <w:shd w:val="clear" w:color="auto" w:fill="auto"/>
            <w:noWrap/>
            <w:vAlign w:val="center"/>
            <w:hideMark/>
          </w:tcPr>
          <w:p w14:paraId="765252FB" w14:textId="4B181458" w:rsidR="001941B7" w:rsidRPr="00AE2129" w:rsidRDefault="001941B7" w:rsidP="00AE2129">
            <w:pPr>
              <w:spacing w:before="0" w:after="0" w:line="240" w:lineRule="auto"/>
              <w:jc w:val="right"/>
              <w:rPr>
                <w:rFonts w:eastAsia="Times New Roman" w:cs="Arial"/>
                <w:b/>
                <w:bCs/>
                <w:sz w:val="18"/>
                <w:szCs w:val="18"/>
              </w:rPr>
            </w:pPr>
            <w:r w:rsidRPr="00AE2129">
              <w:rPr>
                <w:rFonts w:eastAsia="Times New Roman" w:cs="Arial"/>
                <w:b/>
                <w:bCs/>
                <w:sz w:val="18"/>
                <w:szCs w:val="18"/>
              </w:rPr>
              <w:t>Study arm:</w:t>
            </w:r>
          </w:p>
        </w:tc>
        <w:tc>
          <w:tcPr>
            <w:tcW w:w="1153" w:type="dxa"/>
            <w:tcBorders>
              <w:top w:val="single" w:sz="12" w:space="0" w:color="auto"/>
              <w:left w:val="nil"/>
              <w:bottom w:val="single" w:sz="4" w:space="0" w:color="auto"/>
              <w:right w:val="nil"/>
            </w:tcBorders>
            <w:shd w:val="clear" w:color="auto" w:fill="auto"/>
            <w:noWrap/>
            <w:vAlign w:val="center"/>
            <w:hideMark/>
          </w:tcPr>
          <w:p w14:paraId="4F46569A" w14:textId="77777777" w:rsidR="001941B7" w:rsidRPr="00AE2129" w:rsidRDefault="001941B7" w:rsidP="00AE2129">
            <w:pPr>
              <w:spacing w:before="0" w:after="0" w:line="240" w:lineRule="auto"/>
              <w:jc w:val="center"/>
              <w:rPr>
                <w:rFonts w:eastAsia="Times New Roman" w:cs="Arial"/>
                <w:b/>
                <w:bCs/>
                <w:color w:val="000000"/>
                <w:sz w:val="18"/>
                <w:szCs w:val="18"/>
              </w:rPr>
            </w:pPr>
            <w:r w:rsidRPr="00AE2129">
              <w:rPr>
                <w:rFonts w:eastAsia="Times New Roman" w:cs="Arial"/>
                <w:b/>
                <w:bCs/>
                <w:color w:val="000000"/>
                <w:sz w:val="18"/>
                <w:szCs w:val="18"/>
              </w:rPr>
              <w:t>T1</w:t>
            </w:r>
          </w:p>
        </w:tc>
        <w:tc>
          <w:tcPr>
            <w:tcW w:w="1153" w:type="dxa"/>
            <w:tcBorders>
              <w:top w:val="single" w:sz="12" w:space="0" w:color="auto"/>
              <w:left w:val="nil"/>
              <w:bottom w:val="single" w:sz="4" w:space="0" w:color="auto"/>
              <w:right w:val="nil"/>
            </w:tcBorders>
            <w:shd w:val="clear" w:color="auto" w:fill="auto"/>
            <w:noWrap/>
            <w:vAlign w:val="center"/>
            <w:hideMark/>
          </w:tcPr>
          <w:p w14:paraId="58752FAE" w14:textId="77777777" w:rsidR="001941B7" w:rsidRPr="00AE2129" w:rsidRDefault="001941B7" w:rsidP="00AE2129">
            <w:pPr>
              <w:spacing w:before="0" w:after="0" w:line="240" w:lineRule="auto"/>
              <w:jc w:val="center"/>
              <w:rPr>
                <w:rFonts w:eastAsia="Times New Roman" w:cs="Arial"/>
                <w:b/>
                <w:bCs/>
                <w:color w:val="000000"/>
                <w:sz w:val="18"/>
                <w:szCs w:val="18"/>
              </w:rPr>
            </w:pPr>
            <w:r w:rsidRPr="00AE2129">
              <w:rPr>
                <w:rFonts w:eastAsia="Times New Roman" w:cs="Arial"/>
                <w:b/>
                <w:bCs/>
                <w:color w:val="000000"/>
                <w:sz w:val="18"/>
                <w:szCs w:val="18"/>
              </w:rPr>
              <w:t>T2</w:t>
            </w:r>
          </w:p>
        </w:tc>
        <w:tc>
          <w:tcPr>
            <w:tcW w:w="1154" w:type="dxa"/>
            <w:tcBorders>
              <w:top w:val="single" w:sz="12" w:space="0" w:color="auto"/>
              <w:left w:val="nil"/>
              <w:bottom w:val="single" w:sz="4" w:space="0" w:color="auto"/>
              <w:right w:val="nil"/>
            </w:tcBorders>
            <w:shd w:val="clear" w:color="auto" w:fill="auto"/>
            <w:noWrap/>
            <w:vAlign w:val="center"/>
            <w:hideMark/>
          </w:tcPr>
          <w:p w14:paraId="22B308F8" w14:textId="77777777" w:rsidR="001941B7" w:rsidRPr="00AE2129" w:rsidRDefault="001941B7" w:rsidP="00AE2129">
            <w:pPr>
              <w:spacing w:before="0" w:after="0" w:line="240" w:lineRule="auto"/>
              <w:jc w:val="center"/>
              <w:rPr>
                <w:rFonts w:eastAsia="Times New Roman" w:cs="Arial"/>
                <w:b/>
                <w:bCs/>
                <w:color w:val="000000"/>
                <w:sz w:val="18"/>
                <w:szCs w:val="18"/>
              </w:rPr>
            </w:pPr>
            <w:r w:rsidRPr="00AE2129">
              <w:rPr>
                <w:rFonts w:eastAsia="Times New Roman" w:cs="Arial"/>
                <w:b/>
                <w:bCs/>
                <w:color w:val="000000"/>
                <w:sz w:val="18"/>
                <w:szCs w:val="18"/>
              </w:rPr>
              <w:t>T3</w:t>
            </w:r>
          </w:p>
        </w:tc>
      </w:tr>
      <w:tr w:rsidR="001941B7" w:rsidRPr="001941B7" w14:paraId="4040C07A" w14:textId="77777777" w:rsidTr="00AE2129">
        <w:trPr>
          <w:trHeight w:val="288"/>
        </w:trPr>
        <w:tc>
          <w:tcPr>
            <w:tcW w:w="3344" w:type="dxa"/>
            <w:tcBorders>
              <w:top w:val="single" w:sz="4" w:space="0" w:color="auto"/>
              <w:left w:val="nil"/>
              <w:bottom w:val="nil"/>
              <w:right w:val="nil"/>
            </w:tcBorders>
            <w:shd w:val="clear" w:color="auto" w:fill="auto"/>
            <w:noWrap/>
            <w:vAlign w:val="center"/>
            <w:hideMark/>
          </w:tcPr>
          <w:p w14:paraId="48D76912" w14:textId="0E219215" w:rsidR="001941B7" w:rsidRPr="00AE2129" w:rsidRDefault="001941B7" w:rsidP="001941B7">
            <w:pPr>
              <w:spacing w:before="0" w:after="0" w:line="240" w:lineRule="auto"/>
              <w:jc w:val="left"/>
              <w:rPr>
                <w:rFonts w:eastAsia="Times New Roman" w:cs="Arial"/>
                <w:b/>
                <w:bCs/>
                <w:color w:val="000000"/>
                <w:sz w:val="18"/>
                <w:szCs w:val="18"/>
              </w:rPr>
            </w:pPr>
            <w:r w:rsidRPr="00AE2129">
              <w:rPr>
                <w:rFonts w:eastAsia="Times New Roman" w:cs="Arial"/>
                <w:b/>
                <w:bCs/>
                <w:color w:val="000000"/>
                <w:sz w:val="18"/>
                <w:szCs w:val="18"/>
              </w:rPr>
              <w:t>PSNP</w:t>
            </w:r>
            <w:r>
              <w:rPr>
                <w:rFonts w:eastAsia="Times New Roman" w:cs="Arial"/>
                <w:b/>
                <w:bCs/>
                <w:color w:val="000000"/>
                <w:sz w:val="18"/>
                <w:szCs w:val="18"/>
              </w:rPr>
              <w:t>:</w:t>
            </w:r>
          </w:p>
        </w:tc>
        <w:tc>
          <w:tcPr>
            <w:tcW w:w="1153" w:type="dxa"/>
            <w:tcBorders>
              <w:top w:val="single" w:sz="4" w:space="0" w:color="auto"/>
              <w:left w:val="nil"/>
              <w:bottom w:val="nil"/>
              <w:right w:val="nil"/>
            </w:tcBorders>
            <w:shd w:val="clear" w:color="auto" w:fill="auto"/>
            <w:noWrap/>
            <w:vAlign w:val="center"/>
            <w:hideMark/>
          </w:tcPr>
          <w:p w14:paraId="0AE6ABFD"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c>
          <w:tcPr>
            <w:tcW w:w="1153" w:type="dxa"/>
            <w:tcBorders>
              <w:top w:val="single" w:sz="4" w:space="0" w:color="auto"/>
              <w:left w:val="nil"/>
              <w:bottom w:val="nil"/>
              <w:right w:val="nil"/>
            </w:tcBorders>
            <w:shd w:val="clear" w:color="auto" w:fill="auto"/>
            <w:noWrap/>
            <w:vAlign w:val="center"/>
            <w:hideMark/>
          </w:tcPr>
          <w:p w14:paraId="4E60B139"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c>
          <w:tcPr>
            <w:tcW w:w="1154" w:type="dxa"/>
            <w:tcBorders>
              <w:top w:val="single" w:sz="4" w:space="0" w:color="auto"/>
              <w:left w:val="nil"/>
              <w:bottom w:val="nil"/>
              <w:right w:val="nil"/>
            </w:tcBorders>
            <w:shd w:val="clear" w:color="auto" w:fill="auto"/>
            <w:noWrap/>
            <w:vAlign w:val="center"/>
            <w:hideMark/>
          </w:tcPr>
          <w:p w14:paraId="6E7BA6E7"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r>
      <w:tr w:rsidR="001941B7" w:rsidRPr="001941B7" w14:paraId="60549396" w14:textId="77777777" w:rsidTr="00AE2129">
        <w:trPr>
          <w:trHeight w:val="288"/>
        </w:trPr>
        <w:tc>
          <w:tcPr>
            <w:tcW w:w="3344" w:type="dxa"/>
            <w:tcBorders>
              <w:top w:val="nil"/>
              <w:left w:val="nil"/>
              <w:bottom w:val="nil"/>
              <w:right w:val="nil"/>
            </w:tcBorders>
            <w:shd w:val="clear" w:color="auto" w:fill="auto"/>
            <w:noWrap/>
            <w:vAlign w:val="center"/>
          </w:tcPr>
          <w:p w14:paraId="15013869" w14:textId="7D852EC8" w:rsidR="001941B7" w:rsidRPr="00AE2129" w:rsidRDefault="001941B7" w:rsidP="001941B7">
            <w:pPr>
              <w:spacing w:before="0" w:after="0" w:line="240" w:lineRule="auto"/>
              <w:jc w:val="left"/>
              <w:rPr>
                <w:rFonts w:eastAsia="Times New Roman" w:cs="Arial"/>
                <w:b/>
                <w:bCs/>
                <w:color w:val="000000"/>
                <w:sz w:val="18"/>
                <w:szCs w:val="18"/>
              </w:rPr>
            </w:pPr>
            <w:r w:rsidRPr="00AE2129">
              <w:rPr>
                <w:rFonts w:eastAsia="Times New Roman" w:cs="Arial"/>
                <w:b/>
                <w:bCs/>
                <w:color w:val="000000"/>
                <w:sz w:val="18"/>
                <w:szCs w:val="18"/>
              </w:rPr>
              <w:t>SPIR II Interventions:</w:t>
            </w:r>
          </w:p>
        </w:tc>
        <w:tc>
          <w:tcPr>
            <w:tcW w:w="1153" w:type="dxa"/>
            <w:tcBorders>
              <w:top w:val="nil"/>
              <w:left w:val="nil"/>
              <w:bottom w:val="nil"/>
              <w:right w:val="nil"/>
            </w:tcBorders>
            <w:shd w:val="clear" w:color="auto" w:fill="auto"/>
            <w:noWrap/>
            <w:vAlign w:val="center"/>
          </w:tcPr>
          <w:p w14:paraId="6ADDE2F8" w14:textId="77777777" w:rsidR="001941B7" w:rsidRPr="00AE2129" w:rsidRDefault="001941B7" w:rsidP="00AE2129">
            <w:pPr>
              <w:spacing w:before="0" w:after="0" w:line="240" w:lineRule="auto"/>
              <w:jc w:val="center"/>
              <w:rPr>
                <w:rFonts w:eastAsia="Times New Roman" w:cs="Arial"/>
                <w:color w:val="000000"/>
                <w:sz w:val="18"/>
                <w:szCs w:val="18"/>
              </w:rPr>
            </w:pPr>
          </w:p>
        </w:tc>
        <w:tc>
          <w:tcPr>
            <w:tcW w:w="1153" w:type="dxa"/>
            <w:tcBorders>
              <w:top w:val="nil"/>
              <w:left w:val="nil"/>
              <w:bottom w:val="nil"/>
              <w:right w:val="nil"/>
            </w:tcBorders>
            <w:shd w:val="clear" w:color="auto" w:fill="auto"/>
            <w:noWrap/>
            <w:vAlign w:val="center"/>
          </w:tcPr>
          <w:p w14:paraId="5D59213A" w14:textId="77777777" w:rsidR="001941B7" w:rsidRPr="00AE2129" w:rsidRDefault="001941B7" w:rsidP="00AE2129">
            <w:pPr>
              <w:spacing w:before="0" w:after="0" w:line="240" w:lineRule="auto"/>
              <w:jc w:val="center"/>
              <w:rPr>
                <w:rFonts w:eastAsia="Times New Roman" w:cs="Arial"/>
                <w:color w:val="000000"/>
                <w:sz w:val="18"/>
                <w:szCs w:val="18"/>
              </w:rPr>
            </w:pPr>
          </w:p>
        </w:tc>
        <w:tc>
          <w:tcPr>
            <w:tcW w:w="1154" w:type="dxa"/>
            <w:tcBorders>
              <w:top w:val="nil"/>
              <w:left w:val="nil"/>
              <w:bottom w:val="nil"/>
              <w:right w:val="nil"/>
            </w:tcBorders>
            <w:shd w:val="clear" w:color="auto" w:fill="auto"/>
            <w:noWrap/>
            <w:vAlign w:val="center"/>
          </w:tcPr>
          <w:p w14:paraId="3F5CA5E2" w14:textId="77777777" w:rsidR="001941B7" w:rsidRPr="00AE2129" w:rsidRDefault="001941B7" w:rsidP="00AE2129">
            <w:pPr>
              <w:spacing w:before="0" w:after="0" w:line="240" w:lineRule="auto"/>
              <w:jc w:val="center"/>
              <w:rPr>
                <w:rFonts w:eastAsia="Times New Roman" w:cs="Arial"/>
                <w:color w:val="000000"/>
                <w:sz w:val="18"/>
                <w:szCs w:val="18"/>
              </w:rPr>
            </w:pPr>
          </w:p>
        </w:tc>
      </w:tr>
      <w:tr w:rsidR="001941B7" w:rsidRPr="001941B7" w14:paraId="55A637E8" w14:textId="77777777" w:rsidTr="00AE2129">
        <w:trPr>
          <w:trHeight w:val="288"/>
        </w:trPr>
        <w:tc>
          <w:tcPr>
            <w:tcW w:w="3344" w:type="dxa"/>
            <w:tcBorders>
              <w:top w:val="nil"/>
              <w:left w:val="nil"/>
              <w:bottom w:val="nil"/>
              <w:right w:val="nil"/>
            </w:tcBorders>
            <w:shd w:val="clear" w:color="auto" w:fill="auto"/>
            <w:noWrap/>
            <w:vAlign w:val="center"/>
            <w:hideMark/>
          </w:tcPr>
          <w:p w14:paraId="6F6C9352" w14:textId="02D4F022" w:rsidR="001941B7" w:rsidRPr="00AE2129" w:rsidRDefault="001941B7" w:rsidP="00AE2129">
            <w:pPr>
              <w:spacing w:before="0" w:after="0" w:line="240" w:lineRule="auto"/>
              <w:ind w:left="113"/>
              <w:jc w:val="left"/>
              <w:rPr>
                <w:rFonts w:eastAsia="Times New Roman" w:cs="Arial"/>
                <w:color w:val="000000"/>
                <w:sz w:val="18"/>
                <w:szCs w:val="18"/>
              </w:rPr>
            </w:pPr>
            <w:r w:rsidRPr="00AE2129">
              <w:rPr>
                <w:rFonts w:eastAsia="Times New Roman" w:cs="Arial"/>
                <w:color w:val="000000"/>
                <w:sz w:val="18"/>
                <w:szCs w:val="18"/>
              </w:rPr>
              <w:t>Graduation programming</w:t>
            </w:r>
          </w:p>
        </w:tc>
        <w:tc>
          <w:tcPr>
            <w:tcW w:w="1153" w:type="dxa"/>
            <w:tcBorders>
              <w:top w:val="nil"/>
              <w:left w:val="nil"/>
              <w:bottom w:val="nil"/>
              <w:right w:val="nil"/>
            </w:tcBorders>
            <w:shd w:val="clear" w:color="auto" w:fill="auto"/>
            <w:noWrap/>
            <w:vAlign w:val="center"/>
            <w:hideMark/>
          </w:tcPr>
          <w:p w14:paraId="335C968B" w14:textId="77777777" w:rsidR="001941B7" w:rsidRPr="00AE2129" w:rsidRDefault="001941B7" w:rsidP="00AE2129">
            <w:pPr>
              <w:spacing w:before="0" w:after="0" w:line="240" w:lineRule="auto"/>
              <w:jc w:val="center"/>
              <w:rPr>
                <w:rFonts w:eastAsia="Times New Roman" w:cs="Arial"/>
                <w:color w:val="000000"/>
                <w:sz w:val="18"/>
                <w:szCs w:val="18"/>
              </w:rPr>
            </w:pPr>
          </w:p>
        </w:tc>
        <w:tc>
          <w:tcPr>
            <w:tcW w:w="1153" w:type="dxa"/>
            <w:tcBorders>
              <w:top w:val="nil"/>
              <w:left w:val="nil"/>
              <w:bottom w:val="nil"/>
              <w:right w:val="nil"/>
            </w:tcBorders>
            <w:shd w:val="clear" w:color="auto" w:fill="auto"/>
            <w:noWrap/>
            <w:vAlign w:val="center"/>
            <w:hideMark/>
          </w:tcPr>
          <w:p w14:paraId="02081FC0"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c>
          <w:tcPr>
            <w:tcW w:w="1154" w:type="dxa"/>
            <w:tcBorders>
              <w:top w:val="nil"/>
              <w:left w:val="nil"/>
              <w:bottom w:val="nil"/>
              <w:right w:val="nil"/>
            </w:tcBorders>
            <w:shd w:val="clear" w:color="auto" w:fill="auto"/>
            <w:noWrap/>
            <w:vAlign w:val="center"/>
            <w:hideMark/>
          </w:tcPr>
          <w:p w14:paraId="0CB6C6A5"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r>
      <w:tr w:rsidR="001941B7" w:rsidRPr="001941B7" w14:paraId="33635954" w14:textId="77777777" w:rsidTr="00AE2129">
        <w:trPr>
          <w:trHeight w:val="288"/>
        </w:trPr>
        <w:tc>
          <w:tcPr>
            <w:tcW w:w="3344" w:type="dxa"/>
            <w:tcBorders>
              <w:top w:val="nil"/>
              <w:left w:val="nil"/>
              <w:bottom w:val="nil"/>
              <w:right w:val="nil"/>
            </w:tcBorders>
            <w:shd w:val="clear" w:color="auto" w:fill="auto"/>
            <w:noWrap/>
            <w:vAlign w:val="center"/>
            <w:hideMark/>
          </w:tcPr>
          <w:p w14:paraId="2BC6BE36" w14:textId="41A3CD76" w:rsidR="001941B7" w:rsidRPr="00AE2129" w:rsidRDefault="001941B7" w:rsidP="00AE2129">
            <w:pPr>
              <w:spacing w:before="0" w:after="0" w:line="240" w:lineRule="auto"/>
              <w:ind w:left="113"/>
              <w:jc w:val="left"/>
              <w:rPr>
                <w:rFonts w:eastAsia="Times New Roman" w:cs="Arial"/>
                <w:color w:val="000000"/>
                <w:sz w:val="18"/>
                <w:szCs w:val="18"/>
              </w:rPr>
            </w:pPr>
            <w:r w:rsidRPr="001941B7">
              <w:rPr>
                <w:sz w:val="18"/>
                <w:szCs w:val="18"/>
              </w:rPr>
              <w:t>Nurturing Care Group</w:t>
            </w:r>
            <w:r>
              <w:rPr>
                <w:sz w:val="18"/>
                <w:szCs w:val="18"/>
              </w:rPr>
              <w:t xml:space="preserve"> (</w:t>
            </w:r>
            <w:r w:rsidRPr="008E46C8">
              <w:rPr>
                <w:sz w:val="18"/>
                <w:szCs w:val="22"/>
              </w:rPr>
              <w:t>NCG</w:t>
            </w:r>
            <w:r>
              <w:rPr>
                <w:sz w:val="18"/>
                <w:szCs w:val="22"/>
              </w:rPr>
              <w:t>)</w:t>
            </w:r>
          </w:p>
        </w:tc>
        <w:tc>
          <w:tcPr>
            <w:tcW w:w="1153" w:type="dxa"/>
            <w:tcBorders>
              <w:top w:val="nil"/>
              <w:left w:val="nil"/>
              <w:bottom w:val="nil"/>
              <w:right w:val="nil"/>
            </w:tcBorders>
            <w:shd w:val="clear" w:color="auto" w:fill="auto"/>
            <w:noWrap/>
            <w:vAlign w:val="center"/>
            <w:hideMark/>
          </w:tcPr>
          <w:p w14:paraId="027BE135" w14:textId="77777777" w:rsidR="001941B7" w:rsidRPr="00AE2129" w:rsidRDefault="001941B7" w:rsidP="00AE2129">
            <w:pPr>
              <w:spacing w:before="0" w:after="0" w:line="240" w:lineRule="auto"/>
              <w:jc w:val="center"/>
              <w:rPr>
                <w:rFonts w:eastAsia="Times New Roman" w:cs="Arial"/>
                <w:color w:val="000000"/>
                <w:sz w:val="18"/>
                <w:szCs w:val="18"/>
              </w:rPr>
            </w:pPr>
          </w:p>
        </w:tc>
        <w:tc>
          <w:tcPr>
            <w:tcW w:w="1153" w:type="dxa"/>
            <w:tcBorders>
              <w:top w:val="nil"/>
              <w:left w:val="nil"/>
              <w:bottom w:val="nil"/>
              <w:right w:val="nil"/>
            </w:tcBorders>
            <w:shd w:val="clear" w:color="auto" w:fill="auto"/>
            <w:noWrap/>
            <w:vAlign w:val="center"/>
            <w:hideMark/>
          </w:tcPr>
          <w:p w14:paraId="657B5B95"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c>
          <w:tcPr>
            <w:tcW w:w="1154" w:type="dxa"/>
            <w:tcBorders>
              <w:top w:val="nil"/>
              <w:left w:val="nil"/>
              <w:bottom w:val="nil"/>
              <w:right w:val="nil"/>
            </w:tcBorders>
            <w:shd w:val="clear" w:color="auto" w:fill="auto"/>
            <w:noWrap/>
            <w:vAlign w:val="center"/>
            <w:hideMark/>
          </w:tcPr>
          <w:p w14:paraId="48755F36"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r>
      <w:tr w:rsidR="001941B7" w:rsidRPr="001941B7" w14:paraId="4B9F25ED" w14:textId="77777777" w:rsidTr="00AE2129">
        <w:trPr>
          <w:trHeight w:val="288"/>
        </w:trPr>
        <w:tc>
          <w:tcPr>
            <w:tcW w:w="3344" w:type="dxa"/>
            <w:tcBorders>
              <w:top w:val="nil"/>
              <w:left w:val="nil"/>
              <w:bottom w:val="single" w:sz="12" w:space="0" w:color="auto"/>
              <w:right w:val="nil"/>
            </w:tcBorders>
            <w:shd w:val="clear" w:color="auto" w:fill="auto"/>
            <w:noWrap/>
            <w:vAlign w:val="center"/>
            <w:hideMark/>
          </w:tcPr>
          <w:p w14:paraId="7C1203EB" w14:textId="77777777" w:rsidR="001941B7" w:rsidRPr="00AE2129" w:rsidRDefault="001941B7" w:rsidP="00AE2129">
            <w:pPr>
              <w:spacing w:before="0" w:after="0" w:line="240" w:lineRule="auto"/>
              <w:ind w:left="113"/>
              <w:jc w:val="left"/>
              <w:rPr>
                <w:rFonts w:eastAsia="Times New Roman" w:cs="Arial"/>
                <w:color w:val="000000"/>
                <w:sz w:val="18"/>
                <w:szCs w:val="18"/>
              </w:rPr>
            </w:pPr>
            <w:r w:rsidRPr="00AE2129">
              <w:rPr>
                <w:rFonts w:eastAsia="Times New Roman" w:cs="Arial"/>
                <w:color w:val="000000"/>
                <w:sz w:val="18"/>
                <w:szCs w:val="18"/>
              </w:rPr>
              <w:t>Maternal grants</w:t>
            </w:r>
          </w:p>
        </w:tc>
        <w:tc>
          <w:tcPr>
            <w:tcW w:w="1153" w:type="dxa"/>
            <w:tcBorders>
              <w:top w:val="nil"/>
              <w:left w:val="nil"/>
              <w:bottom w:val="single" w:sz="12" w:space="0" w:color="auto"/>
              <w:right w:val="nil"/>
            </w:tcBorders>
            <w:shd w:val="clear" w:color="auto" w:fill="auto"/>
            <w:noWrap/>
            <w:vAlign w:val="center"/>
            <w:hideMark/>
          </w:tcPr>
          <w:p w14:paraId="5A2D558A" w14:textId="77777777" w:rsidR="001941B7" w:rsidRPr="00AE2129" w:rsidRDefault="001941B7" w:rsidP="00AE2129">
            <w:pPr>
              <w:spacing w:before="0" w:after="0" w:line="240" w:lineRule="auto"/>
              <w:jc w:val="center"/>
              <w:rPr>
                <w:rFonts w:eastAsia="Times New Roman" w:cs="Arial"/>
                <w:color w:val="000000"/>
                <w:sz w:val="18"/>
                <w:szCs w:val="18"/>
              </w:rPr>
            </w:pPr>
          </w:p>
        </w:tc>
        <w:tc>
          <w:tcPr>
            <w:tcW w:w="1153" w:type="dxa"/>
            <w:tcBorders>
              <w:top w:val="nil"/>
              <w:left w:val="nil"/>
              <w:bottom w:val="single" w:sz="12" w:space="0" w:color="auto"/>
              <w:right w:val="nil"/>
            </w:tcBorders>
            <w:shd w:val="clear" w:color="auto" w:fill="auto"/>
            <w:noWrap/>
            <w:vAlign w:val="center"/>
            <w:hideMark/>
          </w:tcPr>
          <w:p w14:paraId="1837830D" w14:textId="77777777" w:rsidR="001941B7" w:rsidRPr="00AE2129" w:rsidRDefault="001941B7" w:rsidP="00AE2129">
            <w:pPr>
              <w:spacing w:before="0" w:after="0" w:line="240" w:lineRule="auto"/>
              <w:jc w:val="center"/>
              <w:rPr>
                <w:rFonts w:eastAsia="Times New Roman" w:cs="Arial"/>
                <w:sz w:val="18"/>
                <w:szCs w:val="18"/>
              </w:rPr>
            </w:pPr>
          </w:p>
        </w:tc>
        <w:tc>
          <w:tcPr>
            <w:tcW w:w="1154" w:type="dxa"/>
            <w:tcBorders>
              <w:top w:val="nil"/>
              <w:left w:val="nil"/>
              <w:bottom w:val="single" w:sz="12" w:space="0" w:color="auto"/>
              <w:right w:val="nil"/>
            </w:tcBorders>
            <w:shd w:val="clear" w:color="auto" w:fill="auto"/>
            <w:noWrap/>
            <w:vAlign w:val="center"/>
            <w:hideMark/>
          </w:tcPr>
          <w:p w14:paraId="24AB3D20" w14:textId="77777777" w:rsidR="001941B7" w:rsidRPr="00AE2129" w:rsidRDefault="001941B7" w:rsidP="00AE2129">
            <w:pPr>
              <w:spacing w:before="0" w:after="0" w:line="240" w:lineRule="auto"/>
              <w:jc w:val="center"/>
              <w:rPr>
                <w:rFonts w:eastAsia="Times New Roman" w:cs="Arial"/>
                <w:color w:val="000000"/>
                <w:sz w:val="18"/>
                <w:szCs w:val="18"/>
              </w:rPr>
            </w:pPr>
            <w:r w:rsidRPr="00AE2129">
              <w:rPr>
                <w:rFonts w:eastAsia="Times New Roman" w:cs="Arial"/>
                <w:color w:val="000000"/>
                <w:sz w:val="18"/>
                <w:szCs w:val="18"/>
              </w:rPr>
              <w:t>X</w:t>
            </w:r>
          </w:p>
        </w:tc>
      </w:tr>
    </w:tbl>
    <w:p w14:paraId="10C81A4F" w14:textId="77777777" w:rsidR="001941B7" w:rsidRDefault="001941B7" w:rsidP="001941B7"/>
    <w:p w14:paraId="13CE310F" w14:textId="1A570738" w:rsidR="001941B7" w:rsidRPr="00140278" w:rsidRDefault="001941B7" w:rsidP="001941B7">
      <w:pPr>
        <w:rPr>
          <w:rFonts w:cstheme="minorHAnsi"/>
        </w:rPr>
      </w:pPr>
      <w:r>
        <w:t xml:space="preserve">All households in the evaluation, in both the treatment and control arms, receive the core set of food or cash transfers provided under the PSNP. </w:t>
      </w:r>
      <w:r>
        <w:rPr>
          <w:rFonts w:cstheme="minorHAnsi"/>
        </w:rPr>
        <w:t>The PSNP</w:t>
      </w:r>
      <w:r w:rsidRPr="00F57E0C">
        <w:rPr>
          <w:rFonts w:cstheme="minorHAnsi"/>
        </w:rPr>
        <w:t xml:space="preserve"> is structured around the provision of six months of payments (in food</w:t>
      </w:r>
      <w:r>
        <w:rPr>
          <w:rFonts w:cstheme="minorHAnsi"/>
        </w:rPr>
        <w:t xml:space="preserve"> or</w:t>
      </w:r>
      <w:r w:rsidRPr="00F57E0C">
        <w:rPr>
          <w:rFonts w:cstheme="minorHAnsi"/>
        </w:rPr>
        <w:t xml:space="preserve"> cash) to rural households as payments for labor </w:t>
      </w:r>
      <w:r>
        <w:rPr>
          <w:rFonts w:cstheme="minorHAnsi"/>
        </w:rPr>
        <w:t>or unconditional transfers</w:t>
      </w:r>
      <w:r>
        <w:rPr>
          <w:rStyle w:val="FootnoteReference"/>
          <w:rFonts w:cstheme="minorHAnsi"/>
        </w:rPr>
        <w:footnoteReference w:id="10"/>
      </w:r>
      <w:r>
        <w:rPr>
          <w:rFonts w:cstheme="minorHAnsi"/>
        </w:rPr>
        <w:t xml:space="preserve"> </w:t>
      </w:r>
      <w:r w:rsidRPr="00F57E0C">
        <w:rPr>
          <w:rFonts w:cstheme="minorHAnsi"/>
        </w:rPr>
        <w:t>during</w:t>
      </w:r>
      <w:r>
        <w:rPr>
          <w:rFonts w:cstheme="minorHAnsi"/>
        </w:rPr>
        <w:t xml:space="preserve"> </w:t>
      </w:r>
      <w:r w:rsidRPr="00F57E0C">
        <w:rPr>
          <w:rFonts w:cstheme="minorHAnsi"/>
        </w:rPr>
        <w:t>the agricultural off-season (generally, January to June). Median annual transfers per household were around $12</w:t>
      </w:r>
      <w:r>
        <w:rPr>
          <w:rFonts w:cstheme="minorHAnsi"/>
        </w:rPr>
        <w:t>4 d</w:t>
      </w:r>
      <w:r w:rsidRPr="00F57E0C">
        <w:rPr>
          <w:rFonts w:cstheme="minorHAnsi"/>
        </w:rPr>
        <w:t xml:space="preserve">uring the </w:t>
      </w:r>
      <w:r w:rsidR="00F14F70">
        <w:rPr>
          <w:rFonts w:cstheme="minorHAnsi"/>
        </w:rPr>
        <w:t>previous</w:t>
      </w:r>
      <w:r w:rsidRPr="00F57E0C">
        <w:rPr>
          <w:rFonts w:cstheme="minorHAnsi"/>
        </w:rPr>
        <w:t xml:space="preserve"> phase of PSNP programming, phase 4</w:t>
      </w:r>
      <w:r>
        <w:rPr>
          <w:rFonts w:cstheme="minorHAnsi"/>
        </w:rPr>
        <w:t>,</w:t>
      </w:r>
      <w:r w:rsidRPr="00F57E0C">
        <w:rPr>
          <w:rFonts w:cstheme="minorHAnsi"/>
        </w:rPr>
        <w:t xml:space="preserve"> </w:t>
      </w:r>
      <w:r>
        <w:rPr>
          <w:rFonts w:cstheme="minorHAnsi"/>
        </w:rPr>
        <w:t xml:space="preserve">as completed in 2021 </w:t>
      </w:r>
      <w:r>
        <w:rPr>
          <w:rFonts w:cstheme="minorHAnsi"/>
        </w:rPr>
        <w:fldChar w:fldCharType="begin"/>
      </w:r>
      <w:r>
        <w:rPr>
          <w:rFonts w:cstheme="minorHAnsi"/>
        </w:rPr>
        <w:instrText xml:space="preserve"> ADDIN EN.CITE &lt;EndNote&gt;&lt;Cite&gt;&lt;Author&gt;Berhane&lt;/Author&gt;&lt;Year&gt;2020&lt;/Year&gt;&lt;RecNum&gt;2266&lt;/RecNum&gt;&lt;DisplayText&gt;(Berhane et al., 2020)&lt;/DisplayText&gt;&lt;record&gt;&lt;rec-number&gt;2266&lt;/rec-number&gt;&lt;foreign-keys&gt;&lt;key app="EN" db-id="9x0erf0zjf29fkerve3vt0te2rwzx959avzx" timestamp="1542358072"&gt;2266&lt;/key&gt;&lt;/foreign-keys&gt;&lt;ref-type name="Report"&gt;27&lt;/ref-type&gt;&lt;contributors&gt;&lt;authors&gt;&lt;author&gt;Guush Berhane&lt;/author&gt;&lt;author&gt;Jenna Golan&lt;/author&gt;&lt;author&gt;Kalle Hirvonen&lt;/author&gt;&lt;author&gt;John Hoddinott&lt;/author&gt;&lt;author&gt;Sunny Kim&lt;/author&gt;&lt;author&gt;Alemayehu Seyoum Taffesse&lt;/author&gt;&lt;author&gt;Kibrewossen Abay&lt;/author&gt;&lt;author&gt;Thomas Assefa&lt;/author&gt;&lt;author&gt;Yetmwork Habte&lt;/author&gt;&lt;author&gt;Mehari Hiluf&lt;/author&gt;&lt;author&gt;Bethelem Koru&lt;/author&gt;&lt;author&gt;Fanaye Tadesse&lt;/author&gt;&lt;author&gt;Feiruz Yimer&lt;/author&gt;&lt;/authors&gt;&lt;/contributors&gt;&lt;titles&gt;&lt;title&gt;Evaluation of the Nutrition-sensitive Features of the Fourth Phase of Ethiopia&amp;apos;s Productive Safety Net Programme&lt;/title&gt;&lt;secondary-title&gt;IFPRI-ESSP Working Paper&lt;/secondary-title&gt;&lt;/titles&gt;&lt;periodical&gt;&lt;full-title&gt;IFPRI-ESSP working paper&lt;/full-title&gt;&lt;/periodical&gt;&lt;volume&gt;140&lt;/volume&gt;&lt;dates&gt;&lt;year&gt;2020&lt;/year&gt;&lt;/dates&gt;&lt;pub-location&gt;Addis Ababa&lt;/pub-location&gt;&lt;publisher&gt;International Food Policy Research Institute (IFPRI), Ethiopia Strategy Support Program (ESSP)&lt;/publisher&gt;&lt;urls&gt;&lt;/urls&gt;&lt;/record&gt;&lt;/Cite&gt;&lt;/EndNote&gt;</w:instrText>
      </w:r>
      <w:r>
        <w:rPr>
          <w:rFonts w:cstheme="minorHAnsi"/>
        </w:rPr>
        <w:fldChar w:fldCharType="separate"/>
      </w:r>
      <w:r>
        <w:rPr>
          <w:rFonts w:cstheme="minorHAnsi"/>
          <w:noProof/>
        </w:rPr>
        <w:t>(Berhane et al., 2020)</w:t>
      </w:r>
      <w:r>
        <w:rPr>
          <w:rFonts w:cstheme="minorHAnsi"/>
        </w:rPr>
        <w:fldChar w:fldCharType="end"/>
      </w:r>
      <w:r>
        <w:rPr>
          <w:rFonts w:cstheme="minorHAnsi"/>
        </w:rPr>
        <w:t xml:space="preserve">. </w:t>
      </w:r>
      <w:r w:rsidR="00231C43">
        <w:rPr>
          <w:rFonts w:cstheme="minorHAnsi"/>
        </w:rPr>
        <w:t>Apart from small-scale and geographically focused pilots, t</w:t>
      </w:r>
      <w:r w:rsidR="00F14F70">
        <w:rPr>
          <w:rFonts w:cstheme="minorHAnsi"/>
        </w:rPr>
        <w:t xml:space="preserve">he </w:t>
      </w:r>
      <w:r w:rsidR="00231C43">
        <w:rPr>
          <w:rFonts w:cstheme="minorHAnsi"/>
        </w:rPr>
        <w:t xml:space="preserve">standard </w:t>
      </w:r>
      <w:r w:rsidR="00F14F70">
        <w:rPr>
          <w:rFonts w:cstheme="minorHAnsi"/>
        </w:rPr>
        <w:t xml:space="preserve">PSNP </w:t>
      </w:r>
      <w:r w:rsidR="00231C43">
        <w:rPr>
          <w:rFonts w:cstheme="minorHAnsi"/>
        </w:rPr>
        <w:t xml:space="preserve">programming does </w:t>
      </w:r>
      <w:r w:rsidR="00F14F70">
        <w:rPr>
          <w:rFonts w:cstheme="minorHAnsi"/>
        </w:rPr>
        <w:t>not include graduation programming in which households receive larger</w:t>
      </w:r>
      <w:r w:rsidR="00231C43">
        <w:rPr>
          <w:rFonts w:cstheme="minorHAnsi"/>
        </w:rPr>
        <w:t xml:space="preserve"> one-off</w:t>
      </w:r>
      <w:r w:rsidR="00F14F70">
        <w:rPr>
          <w:rFonts w:cstheme="minorHAnsi"/>
        </w:rPr>
        <w:t xml:space="preserve"> cash or asset transfers</w:t>
      </w:r>
      <w:r w:rsidR="00231C43">
        <w:rPr>
          <w:rFonts w:cstheme="minorHAnsi"/>
        </w:rPr>
        <w:t xml:space="preserve"> coupled with </w:t>
      </w:r>
      <w:r w:rsidR="00F14F70">
        <w:rPr>
          <w:rFonts w:cstheme="minorHAnsi"/>
        </w:rPr>
        <w:t xml:space="preserve">livelihood </w:t>
      </w:r>
      <w:r w:rsidR="00231C43">
        <w:rPr>
          <w:rFonts w:cstheme="minorHAnsi"/>
        </w:rPr>
        <w:t xml:space="preserve">and financial </w:t>
      </w:r>
      <w:proofErr w:type="gramStart"/>
      <w:r w:rsidR="00F14F70">
        <w:rPr>
          <w:rFonts w:cstheme="minorHAnsi"/>
        </w:rPr>
        <w:t>trainings</w:t>
      </w:r>
      <w:proofErr w:type="gramEnd"/>
      <w:r w:rsidR="00231C43">
        <w:rPr>
          <w:rFonts w:cstheme="minorHAnsi"/>
        </w:rPr>
        <w:t>.</w:t>
      </w:r>
      <w:r w:rsidR="00AF3FA8">
        <w:rPr>
          <w:rFonts w:cstheme="minorHAnsi"/>
        </w:rPr>
        <w:t xml:space="preserve"> As such, the main role of the PSNP is to provide consumption support to beneficiary households and </w:t>
      </w:r>
      <w:r w:rsidR="00E47B2A">
        <w:rPr>
          <w:rFonts w:cstheme="minorHAnsi"/>
        </w:rPr>
        <w:t xml:space="preserve">to </w:t>
      </w:r>
      <w:r w:rsidR="00AF3FA8">
        <w:rPr>
          <w:rFonts w:cstheme="minorHAnsi"/>
        </w:rPr>
        <w:t xml:space="preserve">improve </w:t>
      </w:r>
      <w:r w:rsidR="00E47B2A">
        <w:rPr>
          <w:rFonts w:cstheme="minorHAnsi"/>
        </w:rPr>
        <w:t xml:space="preserve">or rehabilitate </w:t>
      </w:r>
      <w:r w:rsidR="00AF3FA8">
        <w:rPr>
          <w:rFonts w:cstheme="minorHAnsi"/>
        </w:rPr>
        <w:t>community assets via public works</w:t>
      </w:r>
      <w:r w:rsidR="00E47B2A">
        <w:rPr>
          <w:rFonts w:cstheme="minorHAnsi"/>
        </w:rPr>
        <w:t xml:space="preserve">. </w:t>
      </w:r>
    </w:p>
    <w:p w14:paraId="3065DE4D" w14:textId="353732CD" w:rsidR="00AF3FA8" w:rsidRDefault="0075309C" w:rsidP="0075309C">
      <w:r w:rsidRPr="00497A67">
        <w:rPr>
          <w:rFonts w:cstheme="minorHAnsi"/>
        </w:rPr>
        <w:t>The study arm T1 serves as a control group of PSNP households against which the impacts of SPIR</w:t>
      </w:r>
      <w:r>
        <w:rPr>
          <w:rFonts w:cstheme="minorHAnsi"/>
        </w:rPr>
        <w:t xml:space="preserve"> </w:t>
      </w:r>
      <w:r w:rsidRPr="00497A67">
        <w:rPr>
          <w:rFonts w:cstheme="minorHAnsi"/>
        </w:rPr>
        <w:t>II programming will be measured. PSNP households in arm T2 benefit from SPIR</w:t>
      </w:r>
      <w:r>
        <w:rPr>
          <w:rFonts w:cstheme="minorHAnsi"/>
        </w:rPr>
        <w:t xml:space="preserve"> </w:t>
      </w:r>
      <w:r w:rsidRPr="00497A67">
        <w:rPr>
          <w:rFonts w:cstheme="minorHAnsi"/>
        </w:rPr>
        <w:t xml:space="preserve">II </w:t>
      </w:r>
      <w:r>
        <w:rPr>
          <w:rFonts w:cstheme="minorHAnsi"/>
        </w:rPr>
        <w:t>graduation</w:t>
      </w:r>
      <w:r w:rsidRPr="00497A67">
        <w:rPr>
          <w:rFonts w:cstheme="minorHAnsi"/>
        </w:rPr>
        <w:t xml:space="preserve"> </w:t>
      </w:r>
      <w:r>
        <w:rPr>
          <w:rFonts w:cstheme="minorHAnsi"/>
        </w:rPr>
        <w:t>programmi</w:t>
      </w:r>
      <w:r w:rsidRPr="00497A67">
        <w:rPr>
          <w:rFonts w:cstheme="minorHAnsi"/>
        </w:rPr>
        <w:t>ng and will be exposed to the NCG intervention.</w:t>
      </w:r>
      <w:r w:rsidR="00463592">
        <w:rPr>
          <w:rStyle w:val="FootnoteReference"/>
          <w:rFonts w:cstheme="minorHAnsi"/>
        </w:rPr>
        <w:footnoteReference w:id="11"/>
      </w:r>
      <w:r w:rsidRPr="00497A67">
        <w:rPr>
          <w:rFonts w:cstheme="minorHAnsi"/>
        </w:rPr>
        <w:t xml:space="preserve"> The study arm T3 receives the same intervention package as households in T2</w:t>
      </w:r>
      <w:r>
        <w:rPr>
          <w:rFonts w:cstheme="minorHAnsi"/>
        </w:rPr>
        <w:t>,</w:t>
      </w:r>
      <w:r w:rsidRPr="00497A67">
        <w:rPr>
          <w:rFonts w:cstheme="minorHAnsi"/>
        </w:rPr>
        <w:t xml:space="preserve"> but also benefit from the maternal grants. </w:t>
      </w:r>
      <w:r>
        <w:t xml:space="preserve">In terms of broader scale, the SPIR </w:t>
      </w:r>
      <w:r w:rsidR="001941B7">
        <w:t>graduation</w:t>
      </w:r>
      <w:r>
        <w:t xml:space="preserve"> </w:t>
      </w:r>
      <w:r w:rsidR="001941B7">
        <w:t>programming</w:t>
      </w:r>
      <w:r>
        <w:t xml:space="preserve"> target</w:t>
      </w:r>
      <w:r w:rsidR="001941B7">
        <w:t>s</w:t>
      </w:r>
      <w:r>
        <w:t xml:space="preserve"> all PSNP households residing in selected PSNP districts (woredas) in the Amhara and Oromia regions. However, the NCG interventions and maternal grants are rolled out only to women and households enrolled in this evaluation.</w:t>
      </w:r>
    </w:p>
    <w:p w14:paraId="393F0271" w14:textId="7498A3EE" w:rsidR="007D4E38" w:rsidRPr="009E45C9" w:rsidRDefault="007D4E38" w:rsidP="007D4E38">
      <w:pPr>
        <w:pStyle w:val="Heading2"/>
      </w:pPr>
      <w:bookmarkStart w:id="26" w:name="_Toc126582977"/>
      <w:r>
        <w:t>Hypotheses</w:t>
      </w:r>
      <w:bookmarkEnd w:id="26"/>
    </w:p>
    <w:p w14:paraId="73A08292" w14:textId="1202C3B1" w:rsidR="004053A7" w:rsidRPr="00E32FE4" w:rsidRDefault="004053A7" w:rsidP="004053A7">
      <w:r w:rsidRPr="00E32FE4">
        <w:t xml:space="preserve">The first </w:t>
      </w:r>
      <w:r w:rsidR="008C031C">
        <w:t xml:space="preserve">1,000 days </w:t>
      </w:r>
      <w:r w:rsidR="00F70C49">
        <w:t>form</w:t>
      </w:r>
      <w:r w:rsidRPr="00E32FE4">
        <w:t xml:space="preserve"> a critical period in child growth during which growth faltering accelerates and many children in </w:t>
      </w:r>
      <w:r>
        <w:t>LMICs</w:t>
      </w:r>
      <w:r w:rsidRPr="00E32FE4">
        <w:t xml:space="preserve"> become short for their age</w:t>
      </w:r>
      <w:r>
        <w:t xml:space="preserve">, or </w:t>
      </w:r>
      <w:r w:rsidRPr="00E32FE4">
        <w:t>stunted</w:t>
      </w:r>
      <w:r>
        <w:t xml:space="preserve"> </w:t>
      </w:r>
      <w:r w:rsidR="006D0688">
        <w:fldChar w:fldCharType="begin"/>
      </w:r>
      <w:r w:rsidR="003E36AC">
        <w:instrText xml:space="preserve"> ADDIN EN.CITE &lt;EndNote&gt;&lt;Cite&gt;&lt;Author&gt;Victora&lt;/Author&gt;&lt;Year&gt;2010&lt;/Year&gt;&lt;RecNum&gt;507&lt;/RecNum&gt;&lt;DisplayText&gt;(Victora et al., 2010)&lt;/DisplayText&gt;&lt;record&gt;&lt;rec-number&gt;507&lt;/rec-number&gt;&lt;foreign-keys&gt;&lt;key app="EN" db-id="9x0erf0zjf29fkerve3vt0te2rwzx959avzx" timestamp="0"&gt;507&lt;/key&gt;&lt;/foreign-keys&gt;&lt;ref-type name="Journal Article"&gt;17&lt;/ref-type&gt;&lt;contributors&gt;&lt;authors&gt;&lt;author&gt;Victora, C. G.&lt;/author&gt;&lt;author&gt;de Onis, M.&lt;/author&gt;&lt;author&gt;Hallal, P. C.&lt;/author&gt;&lt;author&gt;Blossner, M.&lt;/author&gt;&lt;author&gt;Shrimpton, R.&lt;/author&gt;&lt;/authors&gt;&lt;/contributors&gt;&lt;auth-address&gt;Universidade Federal de Pelotas, Postgraduate Program in Epidemiology, Rua Marechal Deodoro 1160, 96020-220, Pelotas, RS, Brazil. cvictora@terra.com.br&lt;/auth-address&gt;&lt;titles&gt;&lt;title&gt;Worldwide timing of growth faltering: revisiting implications for interventions&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e473-80&lt;/pages&gt;&lt;volume&gt;125&lt;/volume&gt;&lt;number&gt;3&lt;/number&gt;&lt;edition&gt;2010/02/17&lt;/edition&gt;&lt;keywords&gt;&lt;keyword&gt;Child, Preschool&lt;/keyword&gt;&lt;keyword&gt;Growth Disorders/*epidemiology/prevention &amp;amp; control&lt;/keyword&gt;&lt;keyword&gt;Humans&lt;/keyword&gt;&lt;keyword&gt;Infant&lt;/keyword&gt;&lt;keyword&gt;World Health&lt;/keyword&gt;&lt;keyword&gt;World Health Organization&lt;/keyword&gt;&lt;/keywords&gt;&lt;dates&gt;&lt;year&gt;2010&lt;/year&gt;&lt;pub-dates&gt;&lt;date&gt;Mar&lt;/date&gt;&lt;/pub-dates&gt;&lt;/dates&gt;&lt;isbn&gt;1098-4275 (Electronic)&amp;#xD;0031-4005 (Linking)&lt;/isbn&gt;&lt;accession-num&gt;20156903&lt;/accession-num&gt;&lt;urls&gt;&lt;related-urls&gt;&lt;url&gt;http://www.ncbi.nlm.nih.gov/pubmed/20156903&lt;/url&gt;&lt;/related-urls&gt;&lt;/urls&gt;&lt;language&gt;eng&lt;/language&gt;&lt;/record&gt;&lt;/Cite&gt;&lt;/EndNote&gt;</w:instrText>
      </w:r>
      <w:r w:rsidR="006D0688">
        <w:fldChar w:fldCharType="separate"/>
      </w:r>
      <w:r w:rsidR="003E36AC">
        <w:rPr>
          <w:noProof/>
        </w:rPr>
        <w:t>(Victora et al., 2010)</w:t>
      </w:r>
      <w:r w:rsidR="006D0688">
        <w:fldChar w:fldCharType="end"/>
      </w:r>
      <w:r w:rsidR="006D0688">
        <w:t>.</w:t>
      </w:r>
      <w:r>
        <w:rPr>
          <w:color w:val="FF0000"/>
        </w:rPr>
        <w:t xml:space="preserve"> </w:t>
      </w:r>
      <w:r w:rsidRPr="004053A7">
        <w:t xml:space="preserve">To support growth and development during </w:t>
      </w:r>
      <w:r w:rsidR="00F70C49">
        <w:t>this</w:t>
      </w:r>
      <w:r w:rsidRPr="004053A7">
        <w:t xml:space="preserve"> period, </w:t>
      </w:r>
      <w:r w:rsidR="007B10FF">
        <w:fldChar w:fldCharType="begin"/>
      </w:r>
      <w:r w:rsidR="003E36AC">
        <w:instrText xml:space="preserve"> ADDIN EN.CITE &lt;EndNote&gt;&lt;Cite AuthorYear="1"&gt;&lt;Author&gt;WHO&lt;/Author&gt;&lt;Year&gt;2003&lt;/Year&gt;&lt;RecNum&gt;1043&lt;/RecNum&gt;&lt;DisplayText&gt;WHO and UNICEF (2003)&lt;/DisplayText&gt;&lt;record&gt;&lt;rec-number&gt;1043&lt;/rec-number&gt;&lt;foreign-keys&gt;&lt;key app="EN" db-id="9x0erf0zjf29fkerve3vt0te2rwzx959avzx" timestamp="0"&gt;1043&lt;/key&gt;&lt;/foreign-keys&gt;&lt;ref-type name="Report"&gt;27&lt;/ref-type&gt;&lt;contributors&gt;&lt;authors&gt;&lt;author&gt;WHO&lt;/author&gt;&lt;author&gt;UNICEF&lt;/author&gt;&lt;/authors&gt;&lt;/contributors&gt;&lt;titles&gt;&lt;title&gt;Global strategy for infant and young child feeding&lt;/title&gt;&lt;/titles&gt;&lt;dates&gt;&lt;year&gt;2003&lt;/year&gt;&lt;/dates&gt;&lt;pub-location&gt;Geneva&lt;/pub-location&gt;&lt;publisher&gt; World Health Organization (WHO)&lt;/publisher&gt;&lt;urls&gt;&lt;/urls&gt;&lt;/record&gt;&lt;/Cite&gt;&lt;/EndNote&gt;</w:instrText>
      </w:r>
      <w:r w:rsidR="007B10FF">
        <w:fldChar w:fldCharType="separate"/>
      </w:r>
      <w:r w:rsidR="003E36AC">
        <w:rPr>
          <w:noProof/>
        </w:rPr>
        <w:t>WHO and UNICEF (2003)</w:t>
      </w:r>
      <w:r w:rsidR="007B10FF">
        <w:fldChar w:fldCharType="end"/>
      </w:r>
      <w:r w:rsidRPr="004053A7">
        <w:t xml:space="preserve"> recommend caregivers</w:t>
      </w:r>
      <w:r w:rsidR="0063539D">
        <w:t xml:space="preserve"> </w:t>
      </w:r>
      <w:r w:rsidRPr="004053A7">
        <w:t xml:space="preserve">follow </w:t>
      </w:r>
      <w:r w:rsidR="0063539D" w:rsidRPr="004053A7">
        <w:t>age</w:t>
      </w:r>
      <w:r w:rsidR="0063539D">
        <w:t>-</w:t>
      </w:r>
      <w:r w:rsidRPr="004053A7">
        <w:t xml:space="preserve">appropriate </w:t>
      </w:r>
      <w:r w:rsidR="0063539D">
        <w:t>infant and young child feeding (</w:t>
      </w:r>
      <w:r w:rsidRPr="004053A7">
        <w:t>IYCF</w:t>
      </w:r>
      <w:r w:rsidR="0063539D">
        <w:t>)</w:t>
      </w:r>
      <w:r w:rsidRPr="004053A7">
        <w:t xml:space="preserve"> practices</w:t>
      </w:r>
      <w:r w:rsidR="007B10FF">
        <w:t>.</w:t>
      </w:r>
      <w:r>
        <w:rPr>
          <w:color w:val="FF0000"/>
        </w:rPr>
        <w:t xml:space="preserve"> </w:t>
      </w:r>
      <w:r w:rsidRPr="00E32FE4">
        <w:t>In the first six months</w:t>
      </w:r>
      <w:r>
        <w:t xml:space="preserve"> after birth</w:t>
      </w:r>
      <w:r w:rsidRPr="00E32FE4">
        <w:t>,</w:t>
      </w:r>
      <w:r w:rsidR="00F70C49">
        <w:t xml:space="preserve"> it is</w:t>
      </w:r>
      <w:r>
        <w:t xml:space="preserve"> </w:t>
      </w:r>
      <w:r w:rsidRPr="00E32FE4">
        <w:t>recommend</w:t>
      </w:r>
      <w:r w:rsidR="00F70C49">
        <w:t>ed</w:t>
      </w:r>
      <w:r w:rsidRPr="00E32FE4">
        <w:t xml:space="preserve"> that children </w:t>
      </w:r>
      <w:r w:rsidR="00F70C49">
        <w:t>are</w:t>
      </w:r>
      <w:r w:rsidRPr="00E32FE4">
        <w:t xml:space="preserve"> exclusively breastfed. </w:t>
      </w:r>
      <w:r>
        <w:t xml:space="preserve">At </w:t>
      </w:r>
      <w:r w:rsidR="0034208D">
        <w:t xml:space="preserve">around </w:t>
      </w:r>
      <w:r>
        <w:t>six months of age</w:t>
      </w:r>
      <w:r w:rsidRPr="00E32FE4">
        <w:t>, breastmilk is no longer sufficient to</w:t>
      </w:r>
      <w:r w:rsidR="0034208D">
        <w:t xml:space="preserve"> fully </w:t>
      </w:r>
      <w:r w:rsidRPr="00E32FE4">
        <w:t xml:space="preserve">support </w:t>
      </w:r>
      <w:r w:rsidR="007E7FAE">
        <w:t xml:space="preserve">children’s </w:t>
      </w:r>
      <w:r w:rsidRPr="00E32FE4">
        <w:t>growth and development</w:t>
      </w:r>
      <w:r>
        <w:t>,</w:t>
      </w:r>
      <w:r w:rsidRPr="00E32FE4">
        <w:t xml:space="preserve"> and</w:t>
      </w:r>
      <w:r w:rsidR="007E7FAE">
        <w:t xml:space="preserve"> the introduction of complementary foods is required</w:t>
      </w:r>
      <w:r w:rsidRPr="00E32FE4">
        <w:t xml:space="preserve">. </w:t>
      </w:r>
      <w:r w:rsidRPr="00E32FE4">
        <w:lastRenderedPageBreak/>
        <w:t xml:space="preserve">Because of </w:t>
      </w:r>
      <w:r w:rsidR="007B10FF">
        <w:t xml:space="preserve">infants' and young </w:t>
      </w:r>
      <w:proofErr w:type="gramStart"/>
      <w:r w:rsidR="007B10FF">
        <w:t>children’s</w:t>
      </w:r>
      <w:proofErr w:type="gramEnd"/>
      <w:r w:rsidR="007B10FF">
        <w:t xml:space="preserve"> </w:t>
      </w:r>
      <w:r w:rsidRPr="00E32FE4">
        <w:t>limited gastric capacity, these foods need to be highly nutritious and provided frequently</w:t>
      </w:r>
      <w:r w:rsidR="00F554B4">
        <w:t>, and</w:t>
      </w:r>
      <w:r w:rsidR="00B77335">
        <w:t xml:space="preserve"> some households can be income-constrained in providing appropriate foods</w:t>
      </w:r>
      <w:r w:rsidRPr="00E32FE4">
        <w:t xml:space="preserve">. </w:t>
      </w:r>
    </w:p>
    <w:p w14:paraId="1189B00D" w14:textId="21A4A619" w:rsidR="008C031C" w:rsidRDefault="004053A7" w:rsidP="008D71C3">
      <w:r>
        <w:t xml:space="preserve">In Ethiopia, </w:t>
      </w:r>
      <w:r w:rsidR="00F70C49">
        <w:t xml:space="preserve">38 percent of children under 5 years of age are stunted </w:t>
      </w:r>
      <w:r w:rsidR="00F70C49">
        <w:fldChar w:fldCharType="begin"/>
      </w:r>
      <w:r w:rsidR="003E36AC">
        <w:instrText xml:space="preserve"> ADDIN EN.CITE &lt;EndNote&gt;&lt;Cite&gt;&lt;Author&gt;CSA&lt;/Author&gt;&lt;Year&gt;2016&lt;/Year&gt;&lt;RecNum&gt;1816&lt;/RecNum&gt;&lt;DisplayText&gt;(CSA and ICF, 2016)&lt;/DisplayText&gt;&lt;record&gt;&lt;rec-number&gt;1816&lt;/rec-number&gt;&lt;foreign-keys&gt;&lt;key app="EN" db-id="9x0erf0zjf29fkerve3vt0te2rwzx959avzx" timestamp="1504002021"&gt;1816&lt;/key&gt;&lt;/foreign-keys&gt;&lt;ref-type name="Report"&gt;27&lt;/ref-type&gt;&lt;contributors&gt;&lt;authors&gt;&lt;author&gt;CSA&lt;/author&gt;&lt;author&gt;ICF&lt;/author&gt;&lt;/authors&gt;&lt;/contributors&gt;&lt;titles&gt;&lt;title&gt;Ethiopia Demographic and Health Survey 2016&lt;/title&gt;&lt;/titles&gt;&lt;dates&gt;&lt;year&gt;2016&lt;/year&gt;&lt;/dates&gt;&lt;pub-location&gt;Addis Ababa, Ethiopia, and Rockville, Maryland, USA&lt;/pub-location&gt;&lt;publisher&gt;Central Statistical Agency (CSA) of Ethiopia and ICF&lt;/publisher&gt;&lt;urls&gt;&lt;/urls&gt;&lt;/record&gt;&lt;/Cite&gt;&lt;/EndNote&gt;</w:instrText>
      </w:r>
      <w:r w:rsidR="00F70C49">
        <w:fldChar w:fldCharType="separate"/>
      </w:r>
      <w:r w:rsidR="003E36AC">
        <w:rPr>
          <w:noProof/>
        </w:rPr>
        <w:t>(CSA and ICF, 2016)</w:t>
      </w:r>
      <w:r w:rsidR="00F70C49">
        <w:fldChar w:fldCharType="end"/>
      </w:r>
      <w:r w:rsidR="00F70C49">
        <w:t xml:space="preserve">. </w:t>
      </w:r>
      <w:r w:rsidR="007E7FAE">
        <w:t>A</w:t>
      </w:r>
      <w:r>
        <w:t xml:space="preserve">dherence to exclusive breastfeeding during the first </w:t>
      </w:r>
      <w:r w:rsidR="007E7FAE">
        <w:t>six</w:t>
      </w:r>
      <w:r w:rsidR="00416C9F">
        <w:t xml:space="preserve"> </w:t>
      </w:r>
      <w:r>
        <w:t>months of life is relatively high</w:t>
      </w:r>
      <w:r w:rsidR="00A24B2F">
        <w:t xml:space="preserve">, particularly among children </w:t>
      </w:r>
      <w:r w:rsidR="00DE235F">
        <w:t xml:space="preserve">under </w:t>
      </w:r>
      <w:r w:rsidR="00414CFB">
        <w:t>three</w:t>
      </w:r>
      <w:r w:rsidR="00A24B2F">
        <w:t xml:space="preserve"> months of age </w:t>
      </w:r>
      <w:r w:rsidR="00A24B2F">
        <w:fldChar w:fldCharType="begin"/>
      </w:r>
      <w:r w:rsidR="003E36AC">
        <w:instrText xml:space="preserve"> ADDIN EN.CITE &lt;EndNote&gt;&lt;Cite&gt;&lt;Author&gt;CSA&lt;/Author&gt;&lt;Year&gt;2016&lt;/Year&gt;&lt;RecNum&gt;1816&lt;/RecNum&gt;&lt;DisplayText&gt;(CSA and ICF, 2016)&lt;/DisplayText&gt;&lt;record&gt;&lt;rec-number&gt;1816&lt;/rec-number&gt;&lt;foreign-keys&gt;&lt;key app="EN" db-id="9x0erf0zjf29fkerve3vt0te2rwzx959avzx" timestamp="1504002021"&gt;1816&lt;/key&gt;&lt;/foreign-keys&gt;&lt;ref-type name="Report"&gt;27&lt;/ref-type&gt;&lt;contributors&gt;&lt;authors&gt;&lt;author&gt;CSA&lt;/author&gt;&lt;author&gt;ICF&lt;/author&gt;&lt;/authors&gt;&lt;/contributors&gt;&lt;titles&gt;&lt;title&gt;Ethiopia Demographic and Health Survey 2016&lt;/title&gt;&lt;/titles&gt;&lt;dates&gt;&lt;year&gt;2016&lt;/year&gt;&lt;/dates&gt;&lt;pub-location&gt;Addis Ababa, Ethiopia, and Rockville, Maryland, USA&lt;/pub-location&gt;&lt;publisher&gt;Central Statistical Agency (CSA) of Ethiopia and ICF&lt;/publisher&gt;&lt;urls&gt;&lt;/urls&gt;&lt;/record&gt;&lt;/Cite&gt;&lt;/EndNote&gt;</w:instrText>
      </w:r>
      <w:r w:rsidR="00A24B2F">
        <w:fldChar w:fldCharType="separate"/>
      </w:r>
      <w:r w:rsidR="003E36AC">
        <w:rPr>
          <w:noProof/>
        </w:rPr>
        <w:t>(CSA and ICF, 2016)</w:t>
      </w:r>
      <w:r w:rsidR="00A24B2F">
        <w:fldChar w:fldCharType="end"/>
      </w:r>
      <w:r w:rsidR="007E7FAE">
        <w:t>, and a</w:t>
      </w:r>
      <w:r w:rsidR="008D71C3">
        <w:t>s shown in Figure 1</w:t>
      </w:r>
      <w:r w:rsidR="007E7FAE">
        <w:t>, during this period</w:t>
      </w:r>
      <w:r w:rsidR="008D71C3">
        <w:t xml:space="preserve"> the height of the average Ethiopia</w:t>
      </w:r>
      <w:r>
        <w:t>n</w:t>
      </w:r>
      <w:r w:rsidR="008D71C3">
        <w:t xml:space="preserve"> child is </w:t>
      </w:r>
      <w:r w:rsidR="007E7FAE">
        <w:t xml:space="preserve">in fact </w:t>
      </w:r>
      <w:r w:rsidR="008D71C3">
        <w:t>similar to the height of the median child in the WHO-2006 growth reference.</w:t>
      </w:r>
      <w:r w:rsidRPr="004053A7">
        <w:rPr>
          <w:rStyle w:val="FootnoteReference"/>
        </w:rPr>
        <w:t xml:space="preserve"> </w:t>
      </w:r>
      <w:r w:rsidR="008D71C3">
        <w:t xml:space="preserve">Rapid growth faltering begins at around </w:t>
      </w:r>
      <w:r w:rsidR="00414CFB">
        <w:t>six</w:t>
      </w:r>
      <w:r w:rsidR="008D71C3">
        <w:t xml:space="preserve"> months of age when children should be introduced to complementary foods</w:t>
      </w:r>
      <w:r w:rsidR="00DE235F">
        <w:t>,</w:t>
      </w:r>
      <w:r w:rsidR="008D71C3">
        <w:t xml:space="preserve"> and continues until about 18 months of age. </w:t>
      </w:r>
      <w:r>
        <w:t xml:space="preserve">The overarching </w:t>
      </w:r>
      <w:r w:rsidR="00DE235F">
        <w:t>hypothesis evaluated in this study</w:t>
      </w:r>
      <w:r>
        <w:t xml:space="preserve"> is that intensive nutrition programming </w:t>
      </w:r>
      <w:r w:rsidR="007E7FAE">
        <w:t xml:space="preserve">can </w:t>
      </w:r>
      <w:r>
        <w:t xml:space="preserve">prevent growth faltering during the first </w:t>
      </w:r>
      <w:r w:rsidR="00414CFB">
        <w:t>two</w:t>
      </w:r>
      <w:r>
        <w:t xml:space="preserve"> years of lif</w:t>
      </w:r>
      <w:r w:rsidR="007E7FAE">
        <w:t>e; t</w:t>
      </w:r>
      <w:r>
        <w:t xml:space="preserve">herefore, </w:t>
      </w:r>
      <w:r w:rsidR="00A24B2F">
        <w:t xml:space="preserve">it is hypothesized that </w:t>
      </w:r>
      <w:r>
        <w:t>the HAZ curve of the average child in the treatment arms</w:t>
      </w:r>
      <w:r w:rsidR="007E7FAE">
        <w:t xml:space="preserve"> will lie </w:t>
      </w:r>
      <w:r>
        <w:t>above the HAZ curve of the average child in the control arm</w:t>
      </w:r>
      <w:r w:rsidR="007E7FAE">
        <w:t xml:space="preserve"> when measured after the age of two</w:t>
      </w:r>
      <w:r>
        <w:t>.</w:t>
      </w:r>
      <w:r w:rsidR="008C031C">
        <w:t xml:space="preserve"> </w:t>
      </w:r>
    </w:p>
    <w:p w14:paraId="53EB5608" w14:textId="4E070F6B" w:rsidR="00414CFB" w:rsidRDefault="008C031C" w:rsidP="00B77335">
      <w:r>
        <w:t xml:space="preserve">At the baseline, the sample is formed of PSNP households with a pregnant woman or a child less than </w:t>
      </w:r>
      <w:r w:rsidR="00414CFB">
        <w:t>nine</w:t>
      </w:r>
      <w:r>
        <w:t xml:space="preserve"> months of age. We will follow this cohort of children through the study period</w:t>
      </w:r>
      <w:r w:rsidR="00451316">
        <w:t>,</w:t>
      </w:r>
      <w:r>
        <w:t xml:space="preserve"> and the survey rounds are carefully timed to capture the adherence to age</w:t>
      </w:r>
      <w:r w:rsidR="00416C9F">
        <w:t>-</w:t>
      </w:r>
      <w:r>
        <w:t>appropriate IYCF practices and the growth</w:t>
      </w:r>
      <w:r w:rsidR="00416C9F">
        <w:t>-</w:t>
      </w:r>
      <w:r>
        <w:t xml:space="preserve">faltering dynamics </w:t>
      </w:r>
      <w:r w:rsidR="00407E99">
        <w:t xml:space="preserve">apparent in </w:t>
      </w:r>
      <w:r>
        <w:t>Figure 1.</w:t>
      </w:r>
      <w:r w:rsidR="00B77335">
        <w:t xml:space="preserve"> </w:t>
      </w:r>
    </w:p>
    <w:p w14:paraId="0253008B" w14:textId="50F3CF24" w:rsidR="00F14F70" w:rsidRDefault="00F14F70">
      <w:pPr>
        <w:spacing w:before="0" w:after="160" w:line="259" w:lineRule="auto"/>
        <w:jc w:val="left"/>
        <w:rPr>
          <w:b/>
          <w:bCs/>
          <w:szCs w:val="20"/>
        </w:rPr>
      </w:pPr>
    </w:p>
    <w:p w14:paraId="354C69FC" w14:textId="2D41C065" w:rsidR="007749B2" w:rsidRPr="007749B2" w:rsidRDefault="007749B2" w:rsidP="00AE7CCF">
      <w:pPr>
        <w:pStyle w:val="Caption"/>
      </w:pPr>
      <w:r w:rsidRPr="007749B2">
        <w:t xml:space="preserve">Figure </w:t>
      </w:r>
      <w:fldSimple w:instr=" SEQ Figure \* ARABIC ">
        <w:r w:rsidR="00F534DC">
          <w:rPr>
            <w:noProof/>
          </w:rPr>
          <w:t>1</w:t>
        </w:r>
      </w:fldSimple>
      <w:r w:rsidRPr="007749B2">
        <w:t xml:space="preserve">. </w:t>
      </w:r>
      <w:r w:rsidR="004053A7" w:rsidRPr="007749B2">
        <w:t xml:space="preserve">Timing of the surveys in relation to typical linear growth faltering in Ethiopia </w:t>
      </w:r>
    </w:p>
    <w:p w14:paraId="289DF2DA" w14:textId="010B9B2B" w:rsidR="004053A7" w:rsidRDefault="007749B2" w:rsidP="00AE7CCF">
      <w:pPr>
        <w:pStyle w:val="Caption"/>
      </w:pPr>
      <w:r w:rsidRPr="007749B2">
        <w:rPr>
          <w:noProof/>
        </w:rPr>
        <w:drawing>
          <wp:inline distT="0" distB="0" distL="0" distR="0" wp14:anchorId="7846411A" wp14:editId="4501E368">
            <wp:extent cx="4392000" cy="308895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92000" cy="3088956"/>
                    </a:xfrm>
                    <a:prstGeom prst="rect">
                      <a:avLst/>
                    </a:prstGeom>
                  </pic:spPr>
                </pic:pic>
              </a:graphicData>
            </a:graphic>
          </wp:inline>
        </w:drawing>
      </w:r>
    </w:p>
    <w:p w14:paraId="4E7A4F1D" w14:textId="53B4FA84" w:rsidR="004053A7" w:rsidRPr="00AE7CCF" w:rsidRDefault="004053A7" w:rsidP="004053A7">
      <w:pPr>
        <w:spacing w:line="240" w:lineRule="auto"/>
        <w:jc w:val="left"/>
        <w:rPr>
          <w:bCs/>
          <w:i/>
          <w:iCs/>
          <w:sz w:val="18"/>
          <w:szCs w:val="18"/>
        </w:rPr>
      </w:pPr>
      <w:r w:rsidRPr="00AE7CCF">
        <w:rPr>
          <w:bCs/>
          <w:i/>
          <w:iCs/>
          <w:sz w:val="18"/>
          <w:szCs w:val="18"/>
        </w:rPr>
        <w:t>Note: Local polynomial regression based on Ethiopia 2015/16 Demographic and Health Survey (DHS). The shaded areas represent 95-% confidence intervals. N =</w:t>
      </w:r>
      <w:r w:rsidRPr="00AE7CCF">
        <w:rPr>
          <w:i/>
          <w:iCs/>
          <w:sz w:val="16"/>
          <w:szCs w:val="20"/>
        </w:rPr>
        <w:t xml:space="preserve"> </w:t>
      </w:r>
      <w:r w:rsidRPr="00AE7CCF">
        <w:rPr>
          <w:bCs/>
          <w:i/>
          <w:iCs/>
          <w:sz w:val="18"/>
          <w:szCs w:val="18"/>
        </w:rPr>
        <w:t>8,771 children 0-59 months of age.</w:t>
      </w:r>
      <w:r w:rsidR="008C031C" w:rsidRPr="00AE7CCF">
        <w:rPr>
          <w:bCs/>
          <w:i/>
          <w:iCs/>
          <w:sz w:val="18"/>
          <w:szCs w:val="18"/>
        </w:rPr>
        <w:t xml:space="preserve"> </w:t>
      </w:r>
      <w:r w:rsidR="008C031C" w:rsidRPr="00AE7CCF">
        <w:rPr>
          <w:i/>
          <w:iCs/>
          <w:sz w:val="18"/>
          <w:szCs w:val="18"/>
        </w:rPr>
        <w:t xml:space="preserve">HAZ measures the height difference to the median child in the WHO-2006 growth reference sample. This difference is measured in terms of standard deviations. Thus, the HAZ of the median child in the growth reference is 0. In </w:t>
      </w:r>
      <w:r w:rsidR="00AE259D" w:rsidRPr="00AE7CCF">
        <w:rPr>
          <w:i/>
          <w:iCs/>
          <w:sz w:val="18"/>
          <w:szCs w:val="18"/>
        </w:rPr>
        <w:t>the graph,</w:t>
      </w:r>
      <w:r w:rsidR="008C031C" w:rsidRPr="00AE7CCF">
        <w:rPr>
          <w:i/>
          <w:iCs/>
          <w:sz w:val="18"/>
          <w:szCs w:val="18"/>
        </w:rPr>
        <w:t xml:space="preserve"> this is marked with the dashed horizontal line (HAZ=0).</w:t>
      </w:r>
    </w:p>
    <w:p w14:paraId="599CD4C5" w14:textId="77777777" w:rsidR="00252A23" w:rsidRDefault="00252A23" w:rsidP="007D00AD">
      <w:pPr>
        <w:rPr>
          <w:szCs w:val="20"/>
        </w:rPr>
      </w:pPr>
    </w:p>
    <w:p w14:paraId="2738BD7C" w14:textId="77777777" w:rsidR="00B75E95" w:rsidRDefault="00B75E95">
      <w:pPr>
        <w:spacing w:before="0" w:after="160" w:line="259" w:lineRule="auto"/>
        <w:jc w:val="left"/>
        <w:rPr>
          <w:szCs w:val="20"/>
        </w:rPr>
      </w:pPr>
      <w:r>
        <w:rPr>
          <w:szCs w:val="20"/>
        </w:rPr>
        <w:br w:type="page"/>
      </w:r>
    </w:p>
    <w:p w14:paraId="135B68CD" w14:textId="0A232416" w:rsidR="00252A23" w:rsidRDefault="007D00AD" w:rsidP="00AE2129">
      <w:pPr>
        <w:rPr>
          <w:szCs w:val="20"/>
        </w:rPr>
      </w:pPr>
      <w:r w:rsidRPr="0034208D">
        <w:rPr>
          <w:szCs w:val="20"/>
        </w:rPr>
        <w:lastRenderedPageBreak/>
        <w:t xml:space="preserve">At the same time, previous evidence from multiple evaluations of more intensive graduation models (entailing universal livelihoods transfers valued at $500 or even up to $1000) has suggested these interventions can have substantial </w:t>
      </w:r>
      <w:r>
        <w:rPr>
          <w:szCs w:val="20"/>
        </w:rPr>
        <w:t xml:space="preserve">and persistent </w:t>
      </w:r>
      <w:r w:rsidRPr="0034208D">
        <w:rPr>
          <w:szCs w:val="20"/>
        </w:rPr>
        <w:t xml:space="preserve">effects on a range of livelihoods outcomes, including income (and patterns of income diversification), savings, assets, and consumption </w:t>
      </w:r>
      <w:r w:rsidR="00CE3C66">
        <w:rPr>
          <w:szCs w:val="20"/>
        </w:rPr>
        <w:fldChar w:fldCharType="begin"/>
      </w:r>
      <w:r w:rsidR="00CE3C66">
        <w:rPr>
          <w:szCs w:val="20"/>
        </w:rPr>
        <w:instrText xml:space="preserve"> ADDIN EN.CITE &lt;EndNote&gt;&lt;Cite&gt;&lt;Author&gt;Banerjee&lt;/Author&gt;&lt;Year&gt;2021&lt;/Year&gt;&lt;RecNum&gt;4071&lt;/RecNum&gt;&lt;DisplayText&gt;(Balboni et al., 2022; Banerjee et al., 2021)&lt;/DisplayText&gt;&lt;record&gt;&lt;rec-number&gt;4071&lt;/rec-number&gt;&lt;foreign-keys&gt;&lt;key app="EN" db-id="9x0erf0zjf29fkerve3vt0te2rwzx959avzx" timestamp="1669922059"&gt;4071&lt;/key&gt;&lt;/foreign-keys&gt;&lt;ref-type name="Journal Article"&gt;17&lt;/ref-type&gt;&lt;contributors&gt;&lt;authors&gt;&lt;author&gt;Banerjee, Abhijit&lt;/author&gt;&lt;author&gt;Duflo, Esther&lt;/author&gt;&lt;author&gt;Sharma, Garima&lt;/author&gt;&lt;/authors&gt;&lt;/contributors&gt;&lt;titles&gt;&lt;title&gt;Long-term effects of the targeting the ultra poor program&lt;/title&gt;&lt;secondary-title&gt;American Economic Review: Insights&lt;/secondary-title&gt;&lt;/titles&gt;&lt;periodical&gt;&lt;full-title&gt;American Economic Review: Insights&lt;/full-title&gt;&lt;/periodical&gt;&lt;pages&gt;471-86&lt;/pages&gt;&lt;volume&gt;3&lt;/volume&gt;&lt;number&gt;4&lt;/number&gt;&lt;dates&gt;&lt;year&gt;2021&lt;/year&gt;&lt;/dates&gt;&lt;urls&gt;&lt;/urls&gt;&lt;/record&gt;&lt;/Cite&gt;&lt;Cite&gt;&lt;Author&gt;Balboni&lt;/Author&gt;&lt;Year&gt;2022&lt;/Year&gt;&lt;RecNum&gt;4072&lt;/RecNum&gt;&lt;record&gt;&lt;rec-number&gt;4072&lt;/rec-number&gt;&lt;foreign-keys&gt;&lt;key app="EN" db-id="9x0erf0zjf29fkerve3vt0te2rwzx959avzx" timestamp="1669922158"&gt;4072&lt;/key&gt;&lt;/foreign-keys&gt;&lt;ref-type name="Journal Article"&gt;17&lt;/ref-type&gt;&lt;contributors&gt;&lt;authors&gt;&lt;author&gt;Balboni, Clare&lt;/author&gt;&lt;author&gt;Bandiera, Oriana&lt;/author&gt;&lt;author&gt;Burgess, Robin&lt;/author&gt;&lt;author&gt;Ghatak, Maitreesh&lt;/author&gt;&lt;author&gt;Heil, Anton&lt;/author&gt;&lt;/authors&gt;&lt;/contributors&gt;&lt;titles&gt;&lt;title&gt;Why do people stay poor?&lt;/title&gt;&lt;secondary-title&gt;The Quarterly Journal of Economics&lt;/secondary-title&gt;&lt;/titles&gt;&lt;periodical&gt;&lt;full-title&gt;The Quarterly Journal of Economics&lt;/full-title&gt;&lt;/periodical&gt;&lt;pages&gt;785-844&lt;/pages&gt;&lt;volume&gt;137&lt;/volume&gt;&lt;number&gt;2&lt;/number&gt;&lt;dates&gt;&lt;year&gt;2022&lt;/year&gt;&lt;/dates&gt;&lt;isbn&gt;0033-5533&lt;/isbn&gt;&lt;urls&gt;&lt;/urls&gt;&lt;/record&gt;&lt;/Cite&gt;&lt;/EndNote&gt;</w:instrText>
      </w:r>
      <w:r w:rsidR="00CE3C66">
        <w:rPr>
          <w:szCs w:val="20"/>
        </w:rPr>
        <w:fldChar w:fldCharType="separate"/>
      </w:r>
      <w:r w:rsidR="00CE3C66">
        <w:rPr>
          <w:noProof/>
          <w:szCs w:val="20"/>
        </w:rPr>
        <w:t>(Balboni et al., 2022; Banerjee et al., 2021)</w:t>
      </w:r>
      <w:r w:rsidR="00CE3C66">
        <w:rPr>
          <w:szCs w:val="20"/>
        </w:rPr>
        <w:fldChar w:fldCharType="end"/>
      </w:r>
      <w:r w:rsidR="00CE3C66" w:rsidRPr="0034208D">
        <w:rPr>
          <w:szCs w:val="20"/>
        </w:rPr>
        <w:t>.</w:t>
      </w:r>
      <w:r w:rsidR="00CE3C66">
        <w:rPr>
          <w:szCs w:val="20"/>
        </w:rPr>
        <w:t xml:space="preserve"> </w:t>
      </w:r>
      <w:r w:rsidRPr="0034208D">
        <w:rPr>
          <w:szCs w:val="20"/>
        </w:rPr>
        <w:t>Previous evidence from the randomized controlled trial of SPIR I suggests that the</w:t>
      </w:r>
      <w:r>
        <w:rPr>
          <w:szCs w:val="20"/>
        </w:rPr>
        <w:t xml:space="preserve"> reduced </w:t>
      </w:r>
      <w:r w:rsidRPr="0034208D">
        <w:rPr>
          <w:szCs w:val="20"/>
        </w:rPr>
        <w:t xml:space="preserve">set of interventions implemented at scale here in both phases of programming has substantial effects on diversification into livestock production and savings, but smaller effects on assets and no detectable effect on </w:t>
      </w:r>
      <w:r>
        <w:rPr>
          <w:szCs w:val="20"/>
        </w:rPr>
        <w:t xml:space="preserve">household </w:t>
      </w:r>
      <w:r w:rsidRPr="0034208D">
        <w:rPr>
          <w:szCs w:val="20"/>
        </w:rPr>
        <w:t>consumption</w:t>
      </w:r>
      <w:r>
        <w:rPr>
          <w:szCs w:val="20"/>
        </w:rPr>
        <w:t xml:space="preserve"> </w:t>
      </w:r>
      <w:r>
        <w:rPr>
          <w:szCs w:val="20"/>
        </w:rPr>
        <w:fldChar w:fldCharType="begin"/>
      </w:r>
      <w:r>
        <w:rPr>
          <w:szCs w:val="20"/>
        </w:rPr>
        <w:instrText xml:space="preserve"> ADDIN EN.CITE &lt;EndNote&gt;&lt;Cite&gt;&lt;Author&gt;Alderman&lt;/Author&gt;&lt;Year&gt;2021&lt;/Year&gt;&lt;RecNum&gt;4104&lt;/RecNum&gt;&lt;DisplayText&gt;(Alderman et al., 2021)&lt;/DisplayText&gt;&lt;record&gt;&lt;rec-number&gt;4104&lt;/rec-number&gt;&lt;foreign-keys&gt;&lt;key app="EN" db-id="9x0erf0zjf29fkerve3vt0te2rwzx959avzx" timestamp="1675254877"&gt;4104&lt;/key&gt;&lt;/foreign-keys&gt;&lt;ref-type name="Report"&gt;27&lt;/ref-type&gt;&lt;contributors&gt;&lt;authors&gt;&lt;author&gt;Alderman, Harold&lt;/author&gt;&lt;author&gt;Billings, Lucy&lt;/author&gt;&lt;author&gt;Gilligan, Daniel O.&lt;/author&gt;&lt;author&gt;Hidrobo, Melissa&lt;/author&gt;&lt;author&gt;Leight, Jessica&lt;/author&gt;&lt;author&gt;Taffesse, Alemayehu Seyoum&lt;/author&gt;&lt;author&gt;Tambet, Heleene&lt;/author&gt;&lt;/authors&gt;&lt;/contributors&gt;&lt;titles&gt;&lt;title&gt;Impact evaluation of the strengthen PSNP4 institutions and resilience (SPIR) development food security activity (DFSA): Endline report&lt;/title&gt;&lt;/titles&gt;&lt;dates&gt;&lt;year&gt;2021&lt;/year&gt;&lt;/dates&gt;&lt;pub-location&gt;Washington D.C.&lt;/pub-location&gt;&lt;publisher&gt;International Food Policy Research Institute (IFPRI)&lt;/publisher&gt;&lt;urls&gt;&lt;related-urls&gt;&lt;url&gt;https://ebrary.ifpri.org/digital/collection/p15738coll5/id/8084&lt;/url&gt;&lt;/related-urls&gt;&lt;/urls&gt;&lt;/record&gt;&lt;/Cite&gt;&lt;/EndNote&gt;</w:instrText>
      </w:r>
      <w:r>
        <w:rPr>
          <w:szCs w:val="20"/>
        </w:rPr>
        <w:fldChar w:fldCharType="separate"/>
      </w:r>
      <w:r>
        <w:rPr>
          <w:noProof/>
          <w:szCs w:val="20"/>
        </w:rPr>
        <w:t>(Alderman et al., 2021)</w:t>
      </w:r>
      <w:r>
        <w:rPr>
          <w:szCs w:val="20"/>
        </w:rPr>
        <w:fldChar w:fldCharType="end"/>
      </w:r>
      <w:r>
        <w:rPr>
          <w:szCs w:val="20"/>
        </w:rPr>
        <w:t>; however, this previous model did not include the nurturing care groups or maternal cash grants</w:t>
      </w:r>
      <w:r w:rsidRPr="0034208D">
        <w:rPr>
          <w:szCs w:val="20"/>
        </w:rPr>
        <w:t xml:space="preserve">. The </w:t>
      </w:r>
      <w:r>
        <w:rPr>
          <w:szCs w:val="20"/>
        </w:rPr>
        <w:t>design of this new experiment</w:t>
      </w:r>
      <w:r w:rsidRPr="0034208D">
        <w:rPr>
          <w:szCs w:val="20"/>
        </w:rPr>
        <w:t xml:space="preserve"> will also allow us to measure the effects of the interventions of interest on these key livelihood outcomes.</w:t>
      </w:r>
      <w:r>
        <w:rPr>
          <w:szCs w:val="20"/>
        </w:rPr>
        <w:t xml:space="preserve"> Given that previous evidence around effects of the core SPIR interventions on livelihood outcomes already exists in a similar context, however, we motivate our trial primarily by a focus on nutritional outcomes where our evidence will be novel</w:t>
      </w:r>
      <w:r w:rsidR="001A75A7">
        <w:rPr>
          <w:szCs w:val="20"/>
        </w:rPr>
        <w:t>; and as detailed below, the primary outcomes for the trial are all nutritional outcomes.</w:t>
      </w:r>
    </w:p>
    <w:p w14:paraId="6E4BDD04" w14:textId="15D57B45" w:rsidR="007D4E38" w:rsidRPr="0063539D" w:rsidRDefault="007D4E38" w:rsidP="007D4E38">
      <w:pPr>
        <w:rPr>
          <w:szCs w:val="20"/>
        </w:rPr>
      </w:pPr>
      <w:r w:rsidRPr="0063539D">
        <w:rPr>
          <w:szCs w:val="20"/>
        </w:rPr>
        <w:t xml:space="preserve">The theory of change </w:t>
      </w:r>
      <w:r w:rsidR="00451316">
        <w:rPr>
          <w:szCs w:val="20"/>
        </w:rPr>
        <w:t xml:space="preserve">for the SPIR interventions </w:t>
      </w:r>
      <w:r w:rsidR="00414CFB" w:rsidRPr="0063539D">
        <w:rPr>
          <w:szCs w:val="20"/>
        </w:rPr>
        <w:t>suggests</w:t>
      </w:r>
      <w:r w:rsidR="003F58F1">
        <w:rPr>
          <w:szCs w:val="20"/>
        </w:rPr>
        <w:t xml:space="preserve"> a set of</w:t>
      </w:r>
      <w:r w:rsidR="00414CFB" w:rsidRPr="0063539D">
        <w:rPr>
          <w:szCs w:val="20"/>
        </w:rPr>
        <w:t xml:space="preserve"> four</w:t>
      </w:r>
      <w:r w:rsidRPr="0063539D">
        <w:rPr>
          <w:szCs w:val="20"/>
        </w:rPr>
        <w:t xml:space="preserve"> statistically testable null hypotheses:</w:t>
      </w:r>
    </w:p>
    <w:p w14:paraId="6F6AC26F" w14:textId="136C9588" w:rsidR="007D4E38" w:rsidRDefault="0034208D" w:rsidP="007D4E38">
      <w:pPr>
        <w:pStyle w:val="ListParagraph"/>
        <w:numPr>
          <w:ilvl w:val="0"/>
          <w:numId w:val="4"/>
        </w:numPr>
        <w:spacing w:line="360" w:lineRule="auto"/>
        <w:jc w:val="left"/>
      </w:pPr>
      <w:r>
        <w:t>Null h</w:t>
      </w:r>
      <w:r w:rsidR="007D4E38">
        <w:t xml:space="preserve">ypothesis 1: SPIR has no effect on caregiver nutrition </w:t>
      </w:r>
      <w:proofErr w:type="gramStart"/>
      <w:r w:rsidR="007D4E38">
        <w:t>knowledge</w:t>
      </w:r>
      <w:r w:rsidR="007D4E38" w:rsidRPr="00DC2F6B">
        <w:t>;</w:t>
      </w:r>
      <w:proofErr w:type="gramEnd"/>
      <w:r w:rsidR="007D4E38" w:rsidRPr="00DC2F6B">
        <w:t xml:space="preserve"> </w:t>
      </w:r>
    </w:p>
    <w:p w14:paraId="6DB21063" w14:textId="47B14EE8" w:rsidR="007D4E38" w:rsidRDefault="0034208D" w:rsidP="007D4E38">
      <w:pPr>
        <w:pStyle w:val="ListParagraph"/>
        <w:numPr>
          <w:ilvl w:val="0"/>
          <w:numId w:val="4"/>
        </w:numPr>
        <w:spacing w:line="360" w:lineRule="auto"/>
        <w:jc w:val="left"/>
      </w:pPr>
      <w:r>
        <w:t>Null h</w:t>
      </w:r>
      <w:r w:rsidR="007D4E38">
        <w:t>ypothesis 2: SPIR does not lead to changes in children’s diet quality</w:t>
      </w:r>
      <w:r w:rsidR="007D4E38" w:rsidRPr="00DC2F6B">
        <w:t xml:space="preserve">; and </w:t>
      </w:r>
    </w:p>
    <w:p w14:paraId="6E95277C" w14:textId="49AC01D9" w:rsidR="00A74E35" w:rsidRDefault="0034208D" w:rsidP="00A74E35">
      <w:pPr>
        <w:pStyle w:val="ListParagraph"/>
        <w:numPr>
          <w:ilvl w:val="0"/>
          <w:numId w:val="4"/>
        </w:numPr>
        <w:spacing w:line="360" w:lineRule="auto"/>
        <w:jc w:val="left"/>
      </w:pPr>
      <w:r>
        <w:t>Null h</w:t>
      </w:r>
      <w:r w:rsidR="007D4E38">
        <w:t xml:space="preserve">ypothesis 3: SPIR does not lead to changes in children’s long-term nutritional </w:t>
      </w:r>
      <w:r w:rsidR="00BA5720">
        <w:t>status</w:t>
      </w:r>
      <w:r w:rsidR="007D4E38">
        <w:t>.</w:t>
      </w:r>
    </w:p>
    <w:p w14:paraId="66CFB932" w14:textId="036222EC" w:rsidR="00A74E35" w:rsidRDefault="00A74E35" w:rsidP="007A3C41">
      <w:pPr>
        <w:jc w:val="left"/>
      </w:pPr>
      <w:r>
        <w:t xml:space="preserve">For each of the above hypotheses, we also plan to evaluate a secondary null (1b, </w:t>
      </w:r>
      <w:r w:rsidR="00F2123C">
        <w:t>2b</w:t>
      </w:r>
      <w:r>
        <w:t xml:space="preserve">, </w:t>
      </w:r>
      <w:r w:rsidR="00F2123C">
        <w:t>3b</w:t>
      </w:r>
      <w:r>
        <w:t>): there is no additional effect of the maternal cash transfers implemented in T3, vis-à-vis the core interventions and nurturing care groups implemented in T2.</w:t>
      </w:r>
    </w:p>
    <w:p w14:paraId="69B91380" w14:textId="1890B8C6" w:rsidR="00B77335" w:rsidRDefault="0034208D" w:rsidP="007A3C41">
      <w:pPr>
        <w:pStyle w:val="ListParagraph"/>
        <w:numPr>
          <w:ilvl w:val="0"/>
          <w:numId w:val="4"/>
        </w:numPr>
        <w:jc w:val="left"/>
      </w:pPr>
      <w:r>
        <w:t>Null h</w:t>
      </w:r>
      <w:r w:rsidR="00B77335">
        <w:t>ypothesis 4: SPIR has no effect on livelihood outcomes including savings and consumption.</w:t>
      </w:r>
    </w:p>
    <w:p w14:paraId="2FC4B69D" w14:textId="5280B3AF" w:rsidR="001468BA" w:rsidRDefault="001468BA" w:rsidP="009205F6">
      <w:r>
        <w:t xml:space="preserve">For this final hypothesis, </w:t>
      </w:r>
      <w:r w:rsidR="00931333">
        <w:t>the sample in the two treatment arms will be pooled vis-à-vis the control arm</w:t>
      </w:r>
      <w:r w:rsidR="006C1748">
        <w:t xml:space="preserve"> in the main specification</w:t>
      </w:r>
      <w:r w:rsidR="00931333">
        <w:t>, given that there is no variation in the core livelihoods interventions</w:t>
      </w:r>
      <w:r w:rsidR="00BD5733">
        <w:t xml:space="preserve"> across treatment arms</w:t>
      </w:r>
      <w:r w:rsidR="00CE3C66">
        <w:t xml:space="preserve">. </w:t>
      </w:r>
      <w:r w:rsidR="006C1748">
        <w:t>(A second specification will analyze the effects of each treatment arm separately</w:t>
      </w:r>
      <w:r w:rsidR="00CE3C66">
        <w:t xml:space="preserve">.) </w:t>
      </w:r>
      <w:r w:rsidR="007D00AD">
        <w:t>We hypothesize that p</w:t>
      </w:r>
      <w:r w:rsidR="007329B0">
        <w:t>ositive impacts on household consumption can occur via two channels. First, the maternal grants may result in temporary increase</w:t>
      </w:r>
      <w:r w:rsidR="009205F6">
        <w:t>s</w:t>
      </w:r>
      <w:r w:rsidR="007329B0">
        <w:t xml:space="preserve"> in </w:t>
      </w:r>
      <w:r w:rsidR="009205F6">
        <w:t xml:space="preserve">food </w:t>
      </w:r>
      <w:r w:rsidR="007329B0">
        <w:t>consumption levels</w:t>
      </w:r>
      <w:r w:rsidR="009205F6">
        <w:t xml:space="preserve"> that form </w:t>
      </w:r>
      <w:r w:rsidR="0005384E">
        <w:t>most of the</w:t>
      </w:r>
      <w:r w:rsidR="009205F6">
        <w:t xml:space="preserve"> households’ total consumption in this context</w:t>
      </w:r>
      <w:r w:rsidR="007329B0">
        <w:t>. If so, these impacts may be visible at the midline (when the maternal grants are ongoing) but not at the endline (following the conclusion of the maternal cash grant payments). Second, the SPIR livelihood interventions may lead to more persistent increases in consumption levels that are visible at the endline</w:t>
      </w:r>
      <w:r w:rsidR="007D00AD">
        <w:t xml:space="preserve">, although, </w:t>
      </w:r>
      <w:r w:rsidR="009205F6">
        <w:t xml:space="preserve">as noted above, </w:t>
      </w:r>
      <w:r w:rsidR="007329B0">
        <w:t>th</w:t>
      </w:r>
      <w:r w:rsidR="009205F6">
        <w:t xml:space="preserve">e evaluation of SPIR-I did not detect </w:t>
      </w:r>
      <w:r w:rsidR="007D00AD">
        <w:t xml:space="preserve">improvements in household </w:t>
      </w:r>
      <w:r w:rsidR="009205F6">
        <w:t xml:space="preserve">consumption </w:t>
      </w:r>
      <w:r w:rsidR="007D00AD">
        <w:t>levels</w:t>
      </w:r>
      <w:r w:rsidR="009205F6">
        <w:t xml:space="preserve">. </w:t>
      </w:r>
    </w:p>
    <w:p w14:paraId="10BF9972" w14:textId="2E7A1BEA" w:rsidR="009E45C9" w:rsidRDefault="00BD5733" w:rsidP="009E45C9">
      <w:r>
        <w:t>All primary</w:t>
      </w:r>
      <w:r w:rsidR="00BA5720">
        <w:t xml:space="preserve"> outcomes are listed in Table</w:t>
      </w:r>
      <w:r w:rsidR="008C031C">
        <w:t xml:space="preserve"> </w:t>
      </w:r>
      <w:r w:rsidR="00831C3D">
        <w:t>2</w:t>
      </w:r>
      <w:r w:rsidR="00BA5720">
        <w:t xml:space="preserve">. The outcome for </w:t>
      </w:r>
      <w:r w:rsidR="0034208D">
        <w:t xml:space="preserve">null </w:t>
      </w:r>
      <w:r w:rsidR="00BA5720">
        <w:t xml:space="preserve">hypothesis 1 is caregiver IYCF knowledge, measured through responses to a nutrition knowledge quiz administered as a part of </w:t>
      </w:r>
      <w:r w:rsidR="007C25D9">
        <w:t>all three</w:t>
      </w:r>
      <w:r w:rsidR="00BA5720">
        <w:t xml:space="preserve"> household survey</w:t>
      </w:r>
      <w:r w:rsidR="007C25D9">
        <w:t>s</w:t>
      </w:r>
      <w:r w:rsidR="00BA5720">
        <w:t xml:space="preserve">. </w:t>
      </w:r>
      <w:r w:rsidR="007C25D9">
        <w:t xml:space="preserve">The quiz </w:t>
      </w:r>
      <w:r w:rsidR="00DE235F">
        <w:t xml:space="preserve">has </w:t>
      </w:r>
      <w:r w:rsidR="007C25D9">
        <w:t>11 questions focusing on recommended breastfeeding and complementary feeding practices. The nutrition knowledge score is calculated as the total number of correct responses</w:t>
      </w:r>
      <w:r w:rsidR="008C031C">
        <w:t xml:space="preserve"> (i.e., </w:t>
      </w:r>
      <w:r w:rsidR="00414CFB">
        <w:t>with a minimum value of zero and a maximum value of 11</w:t>
      </w:r>
      <w:r w:rsidR="008C031C">
        <w:t>)</w:t>
      </w:r>
      <w:r w:rsidR="007C25D9">
        <w:t xml:space="preserve">. We will measure program impacts on nutrition knowledge </w:t>
      </w:r>
      <w:r w:rsidR="00DE235F">
        <w:t xml:space="preserve">at </w:t>
      </w:r>
      <w:r w:rsidR="007C25D9">
        <w:t>midline and endline.</w:t>
      </w:r>
    </w:p>
    <w:p w14:paraId="09E1F21E" w14:textId="784347A7" w:rsidR="007C25D9" w:rsidRDefault="00DE235F" w:rsidP="009E45C9">
      <w:pPr>
        <w:rPr>
          <w:rFonts w:cs="Arial"/>
          <w:color w:val="000000"/>
          <w:szCs w:val="20"/>
        </w:rPr>
      </w:pPr>
      <w:r>
        <w:t>Experimental effects on</w:t>
      </w:r>
      <w:r w:rsidR="00BA5720">
        <w:t xml:space="preserve"> children’s dietary quality</w:t>
      </w:r>
      <w:r w:rsidR="0063539D">
        <w:t xml:space="preserve"> (null hypothesis 2)</w:t>
      </w:r>
      <w:r w:rsidR="00BA5720">
        <w:t xml:space="preserve"> </w:t>
      </w:r>
      <w:r>
        <w:t>are</w:t>
      </w:r>
      <w:r w:rsidR="00BA5720">
        <w:t xml:space="preserve"> measured </w:t>
      </w:r>
      <w:r w:rsidR="00F2123C">
        <w:t xml:space="preserve">at midline </w:t>
      </w:r>
      <w:r w:rsidR="00BA5720">
        <w:t xml:space="preserve">using </w:t>
      </w:r>
      <w:r w:rsidR="00BA5720">
        <w:rPr>
          <w:rFonts w:cs="Arial"/>
          <w:color w:val="000000"/>
          <w:szCs w:val="20"/>
        </w:rPr>
        <w:t>the</w:t>
      </w:r>
      <w:r w:rsidR="00BA5720" w:rsidRPr="009E45C9">
        <w:rPr>
          <w:rFonts w:cs="Arial"/>
          <w:color w:val="000000"/>
          <w:szCs w:val="20"/>
        </w:rPr>
        <w:t xml:space="preserve"> </w:t>
      </w:r>
      <w:r w:rsidR="00412148">
        <w:rPr>
          <w:rFonts w:cs="Arial"/>
          <w:color w:val="000000"/>
          <w:szCs w:val="20"/>
        </w:rPr>
        <w:t>number of food groups consumed by the child in the 24-hour period prior to the survey</w:t>
      </w:r>
      <w:r w:rsidR="00BA5720">
        <w:rPr>
          <w:rFonts w:cs="Arial"/>
          <w:color w:val="000000"/>
          <w:szCs w:val="20"/>
        </w:rPr>
        <w:t>.</w:t>
      </w:r>
      <w:r w:rsidR="007C25D9">
        <w:rPr>
          <w:rFonts w:cs="Arial"/>
          <w:color w:val="000000"/>
          <w:szCs w:val="20"/>
        </w:rPr>
        <w:t xml:space="preserve"> </w:t>
      </w:r>
      <w:r w:rsidR="007C25D9">
        <w:t xml:space="preserve">The survey instrument </w:t>
      </w:r>
      <w:r w:rsidR="00412148">
        <w:t xml:space="preserve">asks </w:t>
      </w:r>
      <w:r w:rsidR="007C25D9">
        <w:t xml:space="preserve">caregivers a series of Yes/No questions </w:t>
      </w:r>
      <w:r w:rsidR="007C25D9" w:rsidRPr="005504CD">
        <w:t>about children’s consumption of different foods</w:t>
      </w:r>
      <w:r w:rsidR="007C25D9">
        <w:t xml:space="preserve"> and liquids</w:t>
      </w:r>
      <w:r w:rsidR="007C25D9" w:rsidRPr="005504CD">
        <w:t xml:space="preserve"> in the 24 hours before the interview. Following</w:t>
      </w:r>
      <w:r w:rsidR="007C77F0">
        <w:t xml:space="preserve"> recently revised</w:t>
      </w:r>
      <w:r w:rsidR="007C25D9" w:rsidRPr="005504CD">
        <w:t xml:space="preserve"> WHO</w:t>
      </w:r>
      <w:r w:rsidR="007C25D9">
        <w:t xml:space="preserve"> and UNICEF</w:t>
      </w:r>
      <w:r w:rsidR="007C25D9" w:rsidRPr="005504CD">
        <w:t xml:space="preserve"> guidelines</w:t>
      </w:r>
      <w:r w:rsidR="007C25D9">
        <w:t xml:space="preserve"> </w:t>
      </w:r>
      <w:r w:rsidR="007C25D9">
        <w:lastRenderedPageBreak/>
        <w:fldChar w:fldCharType="begin"/>
      </w:r>
      <w:r w:rsidR="003E36AC">
        <w:instrText xml:space="preserve"> ADDIN EN.CITE &lt;EndNote&gt;&lt;Cite&gt;&lt;Author&gt;WHO&lt;/Author&gt;&lt;Year&gt;2021&lt;/Year&gt;&lt;RecNum&gt;3785&lt;/RecNum&gt;&lt;DisplayText&gt;(WHO and UNICEF, 2021)&lt;/DisplayText&gt;&lt;record&gt;&lt;rec-number&gt;3785&lt;/rec-number&gt;&lt;foreign-keys&gt;&lt;key app="EN" db-id="9x0erf0zjf29fkerve3vt0te2rwzx959avzx" timestamp="1623238196"&gt;3785&lt;/key&gt;&lt;/foreign-keys&gt;&lt;ref-type name="Electronic Article"&gt;43&lt;/ref-type&gt;&lt;contributors&gt;&lt;authors&gt;&lt;author&gt;WHO&lt;/author&gt;&lt;author&gt;UNICEF&lt;/author&gt;&lt;/authors&gt;&lt;/contributors&gt;&lt;titles&gt;&lt;title&gt;Indicators for assessing infant and young child feeding practices: definitions and measurement methods&lt;/title&gt;&lt;/titles&gt;&lt;dates&gt;&lt;year&gt;2021&lt;/year&gt;&lt;/dates&gt;&lt;pub-location&gt;Geneva&lt;/pub-location&gt;&lt;publisher&gt;World Health Organization (WHO) and the United Nations Children’s Fund (UNICEF)&lt;/publisher&gt;&lt;isbn&gt;9240018387&lt;/isbn&gt;&lt;urls&gt;&lt;/urls&gt;&lt;/record&gt;&lt;/Cite&gt;&lt;/EndNote&gt;</w:instrText>
      </w:r>
      <w:r w:rsidR="007C25D9">
        <w:fldChar w:fldCharType="separate"/>
      </w:r>
      <w:r w:rsidR="003E36AC">
        <w:rPr>
          <w:noProof/>
        </w:rPr>
        <w:t>(WHO and UNICEF, 2021)</w:t>
      </w:r>
      <w:r w:rsidR="007C25D9">
        <w:fldChar w:fldCharType="end"/>
      </w:r>
      <w:r w:rsidR="007C25D9" w:rsidRPr="005504CD">
        <w:t xml:space="preserve">, we </w:t>
      </w:r>
      <w:r w:rsidR="00412148">
        <w:t xml:space="preserve">will </w:t>
      </w:r>
      <w:r w:rsidR="007C25D9" w:rsidRPr="005504CD">
        <w:t xml:space="preserve">group these foods into </w:t>
      </w:r>
      <w:r w:rsidR="00414CFB">
        <w:t>eight</w:t>
      </w:r>
      <w:r w:rsidR="007C25D9" w:rsidRPr="005504CD">
        <w:t xml:space="preserve"> food groups</w:t>
      </w:r>
      <w:r w:rsidR="007C25D9">
        <w:t xml:space="preserve">: </w:t>
      </w:r>
      <w:r>
        <w:t>b</w:t>
      </w:r>
      <w:r w:rsidR="007C25D9">
        <w:t xml:space="preserve">reastmilk; </w:t>
      </w:r>
      <w:r>
        <w:t>grains</w:t>
      </w:r>
      <w:r w:rsidR="007C25D9">
        <w:t xml:space="preserve">, roots, and tubers; </w:t>
      </w:r>
      <w:r>
        <w:t>l</w:t>
      </w:r>
      <w:r w:rsidR="007C25D9">
        <w:t xml:space="preserve">egumes and nuts; </w:t>
      </w:r>
      <w:r>
        <w:t xml:space="preserve">dairy </w:t>
      </w:r>
      <w:r w:rsidR="007C25D9">
        <w:t xml:space="preserve">products; </w:t>
      </w:r>
      <w:r>
        <w:t xml:space="preserve">flesh </w:t>
      </w:r>
      <w:r w:rsidR="007C25D9">
        <w:t xml:space="preserve">foods; </w:t>
      </w:r>
      <w:r>
        <w:t>eggs</w:t>
      </w:r>
      <w:r w:rsidR="007C25D9">
        <w:t xml:space="preserve">; </w:t>
      </w:r>
      <w:r>
        <w:t>v</w:t>
      </w:r>
      <w:r w:rsidR="007C25D9">
        <w:t xml:space="preserve">itamin A rich fruits and vegetables; and </w:t>
      </w:r>
      <w:r>
        <w:t>o</w:t>
      </w:r>
      <w:r w:rsidR="007C25D9">
        <w:t>ther fruits and vegetables.</w:t>
      </w:r>
      <w:r w:rsidR="00412148">
        <w:t xml:space="preserve"> The variable used in the analysis to measure children’s dietary quality is a count variable capturing the number of food groups consumed by the child (i.e., with a minimum value of zero and a maximum value of eight).</w:t>
      </w:r>
      <w:r w:rsidR="007C25D9" w:rsidRPr="005504CD">
        <w:t xml:space="preserve"> </w:t>
      </w:r>
      <w:r w:rsidR="00F2123C">
        <w:t>This relatively simple indicator has been shown to be a good proxy for children’s dietary quality</w:t>
      </w:r>
      <w:r w:rsidR="0005384E">
        <w:t xml:space="preserve">. Various studies demonstrate how children’s dietary diversity </w:t>
      </w:r>
      <w:r w:rsidR="007D00AD">
        <w:t xml:space="preserve">score </w:t>
      </w:r>
      <w:r w:rsidR="0005384E">
        <w:t xml:space="preserve">is </w:t>
      </w:r>
      <w:r w:rsidR="00F2123C">
        <w:t xml:space="preserve">highly correlated with calorie and micronutrient intakes based on more comprehensive and complex </w:t>
      </w:r>
      <w:r w:rsidR="00F2123C">
        <w:rPr>
          <w:noProof/>
          <w:lang w:val="en-GB"/>
        </w:rPr>
        <w:t xml:space="preserve">food intake measures such as the quantitative 24-hour recall </w:t>
      </w:r>
      <w:r w:rsidR="00F2123C">
        <w:rPr>
          <w:noProof/>
          <w:lang w:val="en-GB"/>
        </w:rPr>
        <w:fldChar w:fldCharType="begin">
          <w:fldData xml:space="preserve">PEVuZE5vdGU+PENpdGU+PEF1dGhvcj5TdGV5bjwvQXV0aG9yPjxZZWFyPjIwMDY8L1llYXI+PFJl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</w:fldData>
        </w:fldChar>
      </w:r>
      <w:r w:rsidR="00F2123C">
        <w:rPr>
          <w:noProof/>
          <w:lang w:val="en-GB"/>
        </w:rPr>
        <w:instrText xml:space="preserve"> ADDIN EN.CITE </w:instrText>
      </w:r>
      <w:r w:rsidR="00F2123C">
        <w:rPr>
          <w:noProof/>
          <w:lang w:val="en-GB"/>
        </w:rPr>
        <w:fldChar w:fldCharType="begin">
          <w:fldData xml:space="preserve">PEVuZE5vdGU+PENpdGU+PEF1dGhvcj5TdGV5bjwvQXV0aG9yPjxZZWFyPjIwMDY8L1llYXI+PFJl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</w:fldData>
        </w:fldChar>
      </w:r>
      <w:r w:rsidR="00F2123C">
        <w:rPr>
          <w:noProof/>
          <w:lang w:val="en-GB"/>
        </w:rPr>
        <w:instrText xml:space="preserve"> ADDIN EN.CITE.DATA </w:instrText>
      </w:r>
      <w:r w:rsidR="00F2123C">
        <w:rPr>
          <w:noProof/>
          <w:lang w:val="en-GB"/>
        </w:rPr>
      </w:r>
      <w:r w:rsidR="00F2123C">
        <w:rPr>
          <w:noProof/>
          <w:lang w:val="en-GB"/>
        </w:rPr>
        <w:fldChar w:fldCharType="end"/>
      </w:r>
      <w:r w:rsidR="00F2123C">
        <w:rPr>
          <w:noProof/>
          <w:lang w:val="en-GB"/>
        </w:rPr>
      </w:r>
      <w:r w:rsidR="00F2123C">
        <w:rPr>
          <w:noProof/>
          <w:lang w:val="en-GB"/>
        </w:rPr>
        <w:fldChar w:fldCharType="separate"/>
      </w:r>
      <w:r w:rsidR="00F2123C">
        <w:rPr>
          <w:noProof/>
          <w:lang w:val="en-GB"/>
        </w:rPr>
        <w:t>(Moursi et al., 2008; Ruel, 2003; Steyn et al., 2006)</w:t>
      </w:r>
      <w:r w:rsidR="00F2123C">
        <w:rPr>
          <w:noProof/>
          <w:lang w:val="en-GB"/>
        </w:rPr>
        <w:fldChar w:fldCharType="end"/>
      </w:r>
      <w:r w:rsidR="00F2123C">
        <w:rPr>
          <w:noProof/>
          <w:lang w:val="en-GB"/>
        </w:rPr>
        <w:t>.</w:t>
      </w:r>
    </w:p>
    <w:p w14:paraId="671D847E" w14:textId="3E38F3F4" w:rsidR="008D71C3" w:rsidRDefault="00DE235F" w:rsidP="008D71C3">
      <w:r>
        <w:rPr>
          <w:rFonts w:cs="Arial"/>
          <w:color w:val="000000"/>
          <w:szCs w:val="20"/>
        </w:rPr>
        <w:t>Experimental effects on</w:t>
      </w:r>
      <w:r w:rsidR="00BA5720">
        <w:rPr>
          <w:rFonts w:cs="Arial"/>
          <w:color w:val="000000"/>
          <w:szCs w:val="20"/>
        </w:rPr>
        <w:t xml:space="preserve"> </w:t>
      </w:r>
      <w:r w:rsidR="00BA5720">
        <w:t xml:space="preserve">children’s long-term nutritional status </w:t>
      </w:r>
      <w:r w:rsidR="0063539D">
        <w:t xml:space="preserve">(null hypothesis 3) </w:t>
      </w:r>
      <w:r>
        <w:t>are</w:t>
      </w:r>
      <w:r w:rsidR="00BA5720">
        <w:t xml:space="preserve"> measured using height for age </w:t>
      </w:r>
      <w:r w:rsidR="00F977F5">
        <w:t>z</w:t>
      </w:r>
      <w:r w:rsidR="00BA5720">
        <w:t xml:space="preserve">-scores (HAZ). </w:t>
      </w:r>
      <w:r w:rsidR="0020545E">
        <w:t>In the midline and endline surveys we will collect a</w:t>
      </w:r>
      <w:r w:rsidR="0020545E" w:rsidRPr="00E32FE4">
        <w:t>nthropometric measure</w:t>
      </w:r>
      <w:r w:rsidR="0020545E">
        <w:t xml:space="preserve">s </w:t>
      </w:r>
      <w:r w:rsidR="0020545E" w:rsidRPr="00E32FE4">
        <w:t xml:space="preserve">– </w:t>
      </w:r>
      <w:r w:rsidR="0020545E">
        <w:t xml:space="preserve">length/height and </w:t>
      </w:r>
      <w:r w:rsidR="0020545E" w:rsidRPr="00E32FE4">
        <w:t>weight</w:t>
      </w:r>
      <w:r w:rsidR="0020545E">
        <w:t xml:space="preserve"> – from all index children</w:t>
      </w:r>
      <w:r w:rsidR="0020545E" w:rsidRPr="00E32FE4">
        <w:t>.</w:t>
      </w:r>
      <w:r w:rsidR="006D0688">
        <w:rPr>
          <w:rStyle w:val="FootnoteReference"/>
        </w:rPr>
        <w:footnoteReference w:id="12"/>
      </w:r>
      <w:r w:rsidR="0020545E" w:rsidRPr="00E32FE4">
        <w:t xml:space="preserve"> </w:t>
      </w:r>
      <w:bookmarkStart w:id="27" w:name="_Hlk501697995"/>
      <w:r w:rsidR="008D71C3">
        <w:t>L</w:t>
      </w:r>
      <w:r w:rsidR="008D71C3" w:rsidRPr="00E32FE4">
        <w:t>engths</w:t>
      </w:r>
      <w:r w:rsidR="008D71C3">
        <w:t>/heights</w:t>
      </w:r>
      <w:r w:rsidR="008D71C3" w:rsidRPr="00E32FE4">
        <w:t xml:space="preserve"> and weights w</w:t>
      </w:r>
      <w:r w:rsidR="008D71C3">
        <w:t>ill</w:t>
      </w:r>
      <w:r w:rsidR="008D71C3" w:rsidRPr="00E32FE4">
        <w:t xml:space="preserve"> then</w:t>
      </w:r>
      <w:r w:rsidR="006D0688">
        <w:t xml:space="preserve"> be</w:t>
      </w:r>
      <w:r w:rsidR="008D71C3" w:rsidRPr="00E32FE4">
        <w:t xml:space="preserve"> converted to </w:t>
      </w:r>
      <w:r w:rsidR="00CE3C66">
        <w:t>z</w:t>
      </w:r>
      <w:r w:rsidR="008D71C3">
        <w:t>-scores</w:t>
      </w:r>
      <w:r w:rsidR="008D71C3" w:rsidRPr="00E32FE4">
        <w:t xml:space="preserve"> using the </w:t>
      </w:r>
      <w:r w:rsidR="006D0688">
        <w:t xml:space="preserve">2006 </w:t>
      </w:r>
      <w:r w:rsidR="008D71C3" w:rsidRPr="00E32FE4">
        <w:t xml:space="preserve">WHO growth standards </w:t>
      </w:r>
      <w:r w:rsidR="008D71C3" w:rsidRPr="00E32FE4">
        <w:fldChar w:fldCharType="begin">
          <w:fldData xml:space="preserve">PEVuZE5vdGU+PENpdGU+PEF1dGhvcj5XSE88L0F1dGhvcj48WWVhcj4yMDA2PC9ZZWFyPjxSZWNO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</w:fldData>
        </w:fldChar>
      </w:r>
      <w:r w:rsidR="003E36AC">
        <w:instrText xml:space="preserve"> ADDIN EN.CITE </w:instrText>
      </w:r>
      <w:r w:rsidR="003E36AC">
        <w:fldChar w:fldCharType="begin">
          <w:fldData xml:space="preserve">PEVuZE5vdGU+PENpdGU+PEF1dGhvcj5XSE88L0F1dGhvcj48WWVhcj4yMDA2PC9ZZWFyPjxSZWNO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</w:fldData>
        </w:fldChar>
      </w:r>
      <w:r w:rsidR="003E36AC">
        <w:instrText xml:space="preserve"> ADDIN EN.CITE.DATA </w:instrText>
      </w:r>
      <w:r w:rsidR="003E36AC">
        <w:fldChar w:fldCharType="end"/>
      </w:r>
      <w:r w:rsidR="008D71C3" w:rsidRPr="00E32FE4">
        <w:fldChar w:fldCharType="separate"/>
      </w:r>
      <w:r w:rsidR="003E36AC">
        <w:rPr>
          <w:noProof/>
        </w:rPr>
        <w:t>(de Onis et al., 2007; WHO, 2006)</w:t>
      </w:r>
      <w:r w:rsidR="008D71C3" w:rsidRPr="00E32FE4">
        <w:fldChar w:fldCharType="end"/>
      </w:r>
      <w:r w:rsidR="008D71C3" w:rsidRPr="00E32FE4">
        <w:t xml:space="preserve">. </w:t>
      </w:r>
      <w:bookmarkEnd w:id="27"/>
      <w:r w:rsidR="008D71C3" w:rsidRPr="00E32FE4">
        <w:t>These standards allow us to assess child length and weight relative to well-nourished children of the same age and sex</w:t>
      </w:r>
      <w:r>
        <w:t>, and a</w:t>
      </w:r>
      <w:r w:rsidR="008D71C3" w:rsidRPr="00E32FE4">
        <w:t xml:space="preserve"> </w:t>
      </w:r>
      <w:r w:rsidR="008D71C3">
        <w:t>z-score</w:t>
      </w:r>
      <w:r w:rsidR="008D71C3" w:rsidRPr="00E32FE4">
        <w:t xml:space="preserve"> expresses these measures in terms of standard deviations. Children </w:t>
      </w:r>
      <w:proofErr w:type="gramStart"/>
      <w:r w:rsidR="008D71C3" w:rsidRPr="00E32FE4">
        <w:t>are considered to be</w:t>
      </w:r>
      <w:proofErr w:type="gramEnd"/>
      <w:r w:rsidR="008D71C3" w:rsidRPr="00E32FE4">
        <w:t xml:space="preserve"> stunted </w:t>
      </w:r>
      <w:r w:rsidR="008D71C3">
        <w:t>(</w:t>
      </w:r>
      <w:r w:rsidR="008D71C3" w:rsidRPr="00E32FE4">
        <w:t>chronically undernourished</w:t>
      </w:r>
      <w:r w:rsidR="008D71C3">
        <w:t>)</w:t>
      </w:r>
      <w:r w:rsidR="008D71C3" w:rsidRPr="00E32FE4">
        <w:t xml:space="preserve"> if they have a length-for-age </w:t>
      </w:r>
      <w:r w:rsidR="008D71C3">
        <w:t>z-score</w:t>
      </w:r>
      <w:r w:rsidR="008D71C3" w:rsidRPr="00E32FE4">
        <w:t xml:space="preserve"> below -2</w:t>
      </w:r>
      <w:r w:rsidR="008D71C3">
        <w:t>.0</w:t>
      </w:r>
      <w:r>
        <w:t>, and this c</w:t>
      </w:r>
      <w:r w:rsidR="00396E10" w:rsidRPr="00E32FE4">
        <w:t xml:space="preserve">hronic undernutrition reflects the </w:t>
      </w:r>
      <w:r w:rsidR="007133B5" w:rsidRPr="00E32FE4">
        <w:t>negative</w:t>
      </w:r>
      <w:r w:rsidR="00396E10" w:rsidRPr="00E32FE4">
        <w:t xml:space="preserve"> effects of continued inadequate food intake together with repeated infection. </w:t>
      </w:r>
      <w:r w:rsidR="008D71C3">
        <w:t xml:space="preserve">To account for the fact </w:t>
      </w:r>
      <w:r w:rsidR="008C031C">
        <w:t>that</w:t>
      </w:r>
      <w:r w:rsidR="008D71C3">
        <w:t xml:space="preserve"> linear growth faltering is a long-term process, </w:t>
      </w:r>
      <w:r w:rsidR="008C031C">
        <w:t>as a primary outcome we will consider the HAZ</w:t>
      </w:r>
      <w:r>
        <w:t xml:space="preserve"> as</w:t>
      </w:r>
      <w:r w:rsidR="008C031C">
        <w:t xml:space="preserve"> measured </w:t>
      </w:r>
      <w:r>
        <w:t>at</w:t>
      </w:r>
      <w:r w:rsidR="008D71C3">
        <w:t xml:space="preserve"> endline. </w:t>
      </w:r>
    </w:p>
    <w:p w14:paraId="52F99675" w14:textId="0301C45F" w:rsidR="009048CF" w:rsidRDefault="009048CF" w:rsidP="008D71C3">
      <w:r>
        <w:t xml:space="preserve">Impacts on livelihoods </w:t>
      </w:r>
      <w:r w:rsidR="004E0122">
        <w:t xml:space="preserve">(null hypothesis 4) </w:t>
      </w:r>
      <w:r>
        <w:t>are assessed using</w:t>
      </w:r>
      <w:r w:rsidR="004645B4">
        <w:t xml:space="preserve"> </w:t>
      </w:r>
      <w:r w:rsidR="001A75A7">
        <w:t xml:space="preserve">secondary outcomes, described below.  </w:t>
      </w:r>
    </w:p>
    <w:p w14:paraId="78520544" w14:textId="30448C31" w:rsidR="0045347F" w:rsidRPr="004800C8" w:rsidRDefault="0045347F" w:rsidP="00AE7CCF">
      <w:pPr>
        <w:pStyle w:val="Caption"/>
        <w:rPr>
          <w:i/>
          <w:iCs/>
        </w:rPr>
      </w:pPr>
      <w:bookmarkStart w:id="28" w:name="_44sinio" w:colFirst="0" w:colLast="0"/>
      <w:bookmarkStart w:id="29" w:name="_Hlk143765771"/>
      <w:bookmarkEnd w:id="28"/>
      <w:r w:rsidRPr="004800C8">
        <w:t xml:space="preserve">Table </w:t>
      </w:r>
      <w:fldSimple w:instr=" SEQ Table \* ARABIC ">
        <w:r w:rsidR="00F534DC">
          <w:rPr>
            <w:noProof/>
          </w:rPr>
          <w:t>2</w:t>
        </w:r>
      </w:fldSimple>
      <w:r w:rsidRPr="004800C8">
        <w:t>. Primary outcomes</w:t>
      </w:r>
    </w:p>
    <w:tbl>
      <w:tblPr>
        <w:tblStyle w:val="1"/>
        <w:tblW w:w="9498" w:type="dxa"/>
        <w:tblBorders>
          <w:top w:val="single" w:sz="12" w:space="0" w:color="000000"/>
          <w:bottom w:val="single" w:sz="12" w:space="0" w:color="000000"/>
        </w:tblBorders>
        <w:tblLayout w:type="fixed"/>
        <w:tblLook w:val="0400" w:firstRow="0" w:lastRow="0" w:firstColumn="0" w:lastColumn="0" w:noHBand="0" w:noVBand="1"/>
      </w:tblPr>
      <w:tblGrid>
        <w:gridCol w:w="5040"/>
        <w:gridCol w:w="2520"/>
        <w:gridCol w:w="1938"/>
      </w:tblGrid>
      <w:tr w:rsidR="0045347F" w:rsidRPr="00AE7CCF" w14:paraId="772C8A91" w14:textId="77777777" w:rsidTr="0034208D">
        <w:trPr>
          <w:trHeight w:val="269"/>
        </w:trPr>
        <w:tc>
          <w:tcPr>
            <w:tcW w:w="5040" w:type="dxa"/>
            <w:tcBorders>
              <w:top w:val="single" w:sz="12" w:space="0" w:color="000000"/>
              <w:bottom w:val="single" w:sz="4" w:space="0" w:color="000000"/>
            </w:tcBorders>
            <w:shd w:val="clear" w:color="auto" w:fill="auto"/>
            <w:vAlign w:val="center"/>
          </w:tcPr>
          <w:p w14:paraId="7DA0F6BD" w14:textId="2E6BC4B5" w:rsidR="0045347F" w:rsidRPr="00AE7CCF" w:rsidRDefault="00AE7CCF" w:rsidP="00E90895">
            <w:pPr>
              <w:spacing w:before="0" w:after="0" w:line="240" w:lineRule="auto"/>
              <w:jc w:val="left"/>
              <w:rPr>
                <w:rFonts w:cs="Arial"/>
                <w:b/>
                <w:bCs/>
                <w:iCs/>
                <w:color w:val="000000"/>
                <w:szCs w:val="20"/>
              </w:rPr>
            </w:pPr>
            <w:bookmarkStart w:id="30" w:name="_Hlk126578992"/>
            <w:r w:rsidRPr="00AE7CCF">
              <w:rPr>
                <w:rFonts w:cs="Arial"/>
                <w:b/>
                <w:bCs/>
                <w:iCs/>
                <w:color w:val="000000"/>
                <w:szCs w:val="20"/>
              </w:rPr>
              <w:t>Outcome</w:t>
            </w:r>
          </w:p>
        </w:tc>
        <w:tc>
          <w:tcPr>
            <w:tcW w:w="2520" w:type="dxa"/>
            <w:tcBorders>
              <w:top w:val="single" w:sz="12" w:space="0" w:color="000000"/>
              <w:bottom w:val="single" w:sz="4" w:space="0" w:color="000000"/>
            </w:tcBorders>
            <w:vAlign w:val="center"/>
          </w:tcPr>
          <w:p w14:paraId="57F167A9" w14:textId="064D1060" w:rsidR="0045347F" w:rsidRPr="00AE7CCF" w:rsidRDefault="0045347F" w:rsidP="00E90895">
            <w:pPr>
              <w:spacing w:before="0" w:after="0" w:line="240" w:lineRule="auto"/>
              <w:jc w:val="left"/>
              <w:rPr>
                <w:rFonts w:cs="Arial"/>
                <w:b/>
                <w:color w:val="000000"/>
                <w:szCs w:val="20"/>
              </w:rPr>
            </w:pPr>
            <w:r w:rsidRPr="00AE7CCF">
              <w:rPr>
                <w:rFonts w:cs="Arial"/>
                <w:b/>
                <w:color w:val="000000"/>
                <w:szCs w:val="20"/>
              </w:rPr>
              <w:t>Variable type</w:t>
            </w:r>
          </w:p>
        </w:tc>
        <w:tc>
          <w:tcPr>
            <w:tcW w:w="1938" w:type="dxa"/>
            <w:tcBorders>
              <w:top w:val="single" w:sz="12" w:space="0" w:color="000000"/>
              <w:bottom w:val="single" w:sz="4" w:space="0" w:color="000000"/>
            </w:tcBorders>
            <w:shd w:val="clear" w:color="auto" w:fill="auto"/>
            <w:vAlign w:val="center"/>
          </w:tcPr>
          <w:p w14:paraId="2326A660" w14:textId="5A505C4A" w:rsidR="0045347F" w:rsidRPr="00AE7CCF" w:rsidRDefault="0045347F" w:rsidP="00E90895">
            <w:pPr>
              <w:spacing w:before="0" w:after="0" w:line="240" w:lineRule="auto"/>
              <w:jc w:val="left"/>
              <w:rPr>
                <w:rFonts w:cs="Arial"/>
                <w:b/>
                <w:color w:val="000000"/>
                <w:szCs w:val="20"/>
              </w:rPr>
            </w:pPr>
            <w:r w:rsidRPr="00AE7CCF">
              <w:rPr>
                <w:rFonts w:cs="Arial"/>
                <w:b/>
                <w:color w:val="000000"/>
                <w:szCs w:val="20"/>
              </w:rPr>
              <w:t>Timing of measurement</w:t>
            </w:r>
          </w:p>
        </w:tc>
      </w:tr>
      <w:tr w:rsidR="00BA5720" w:rsidRPr="00AE7CCF" w14:paraId="48154674" w14:textId="77777777" w:rsidTr="0034208D">
        <w:trPr>
          <w:trHeight w:val="323"/>
        </w:trPr>
        <w:tc>
          <w:tcPr>
            <w:tcW w:w="5040" w:type="dxa"/>
            <w:shd w:val="clear" w:color="auto" w:fill="auto"/>
            <w:vAlign w:val="center"/>
          </w:tcPr>
          <w:p w14:paraId="75717DFA" w14:textId="4371D9CF" w:rsidR="00BA5720" w:rsidRPr="00AE7CCF" w:rsidRDefault="00BA5720" w:rsidP="00BA5720">
            <w:pPr>
              <w:spacing w:before="0" w:after="0" w:line="240" w:lineRule="auto"/>
              <w:jc w:val="left"/>
              <w:rPr>
                <w:rFonts w:cs="Arial"/>
                <w:color w:val="000000"/>
                <w:szCs w:val="20"/>
              </w:rPr>
            </w:pPr>
            <w:bookmarkStart w:id="31" w:name="_Hlk126578518"/>
            <w:r w:rsidRPr="00AE7CCF">
              <w:rPr>
                <w:rFonts w:cs="Arial"/>
                <w:color w:val="000000"/>
                <w:szCs w:val="20"/>
              </w:rPr>
              <w:t>Caregiver IYCF knowledge</w:t>
            </w:r>
          </w:p>
        </w:tc>
        <w:tc>
          <w:tcPr>
            <w:tcW w:w="2520" w:type="dxa"/>
            <w:vAlign w:val="center"/>
          </w:tcPr>
          <w:p w14:paraId="1C0A449C" w14:textId="01BDBA69" w:rsidR="00BA5720" w:rsidRPr="00AE7CCF" w:rsidRDefault="00BA5720" w:rsidP="00BA5720">
            <w:pPr>
              <w:spacing w:before="0" w:after="0" w:line="240" w:lineRule="auto"/>
              <w:jc w:val="left"/>
              <w:rPr>
                <w:rFonts w:cs="Arial"/>
                <w:color w:val="000000"/>
                <w:szCs w:val="20"/>
              </w:rPr>
            </w:pPr>
            <w:r w:rsidRPr="00AE7CCF">
              <w:rPr>
                <w:rFonts w:cs="Arial"/>
                <w:color w:val="000000"/>
                <w:szCs w:val="20"/>
              </w:rPr>
              <w:t>Continuous</w:t>
            </w:r>
          </w:p>
        </w:tc>
        <w:tc>
          <w:tcPr>
            <w:tcW w:w="1938" w:type="dxa"/>
            <w:shd w:val="clear" w:color="auto" w:fill="auto"/>
            <w:vAlign w:val="center"/>
          </w:tcPr>
          <w:p w14:paraId="1DFADB3B" w14:textId="00475797" w:rsidR="00BA5720" w:rsidRPr="00AE7CCF" w:rsidRDefault="00BA5720" w:rsidP="00BA5720">
            <w:pPr>
              <w:spacing w:before="0" w:after="0" w:line="240" w:lineRule="auto"/>
              <w:jc w:val="left"/>
              <w:rPr>
                <w:rFonts w:cs="Arial"/>
                <w:color w:val="000000"/>
                <w:szCs w:val="20"/>
              </w:rPr>
            </w:pPr>
            <w:r w:rsidRPr="00AE7CCF">
              <w:rPr>
                <w:rFonts w:cs="Arial"/>
                <w:color w:val="000000"/>
                <w:szCs w:val="20"/>
              </w:rPr>
              <w:t>Midline</w:t>
            </w:r>
            <w:r w:rsidR="001F549D">
              <w:rPr>
                <w:rFonts w:cs="Arial"/>
                <w:color w:val="000000"/>
                <w:szCs w:val="20"/>
              </w:rPr>
              <w:t>, e</w:t>
            </w:r>
            <w:r w:rsidRPr="00AE7CCF">
              <w:rPr>
                <w:rFonts w:cs="Arial"/>
                <w:color w:val="000000"/>
                <w:szCs w:val="20"/>
              </w:rPr>
              <w:t>ndline</w:t>
            </w:r>
          </w:p>
        </w:tc>
      </w:tr>
      <w:tr w:rsidR="00BA5720" w:rsidRPr="00AE7CCF" w14:paraId="1DAC01EE" w14:textId="77777777" w:rsidTr="0034208D">
        <w:trPr>
          <w:trHeight w:val="269"/>
        </w:trPr>
        <w:tc>
          <w:tcPr>
            <w:tcW w:w="5040" w:type="dxa"/>
            <w:tcBorders>
              <w:bottom w:val="nil"/>
            </w:tcBorders>
            <w:shd w:val="clear" w:color="auto" w:fill="auto"/>
            <w:vAlign w:val="center"/>
          </w:tcPr>
          <w:p w14:paraId="733CA8A1" w14:textId="736253F4" w:rsidR="00BA5720" w:rsidRPr="00AE7CCF" w:rsidRDefault="0029453B" w:rsidP="00BA5720">
            <w:pPr>
              <w:spacing w:before="0" w:after="0" w:line="240" w:lineRule="auto"/>
              <w:jc w:val="left"/>
              <w:rPr>
                <w:rFonts w:cs="Arial"/>
                <w:color w:val="000000"/>
                <w:szCs w:val="20"/>
              </w:rPr>
            </w:pPr>
            <w:r>
              <w:rPr>
                <w:rFonts w:cs="Arial"/>
                <w:color w:val="000000"/>
                <w:szCs w:val="20"/>
              </w:rPr>
              <w:t>Number of food groups consumed by a child</w:t>
            </w:r>
            <w:r w:rsidR="00BA5720" w:rsidRPr="00AE7CCF">
              <w:rPr>
                <w:rFonts w:cs="Arial"/>
                <w:color w:val="000000"/>
                <w:szCs w:val="20"/>
              </w:rPr>
              <w:t xml:space="preserve"> 6–23 months </w:t>
            </w:r>
          </w:p>
        </w:tc>
        <w:tc>
          <w:tcPr>
            <w:tcW w:w="2520" w:type="dxa"/>
            <w:tcBorders>
              <w:bottom w:val="nil"/>
            </w:tcBorders>
            <w:vAlign w:val="center"/>
          </w:tcPr>
          <w:p w14:paraId="27ADFCDD" w14:textId="73BB0EA1" w:rsidR="00BA5720" w:rsidRPr="00AE7CCF" w:rsidRDefault="0029453B" w:rsidP="00BA5720">
            <w:pPr>
              <w:spacing w:before="0" w:after="0" w:line="240" w:lineRule="auto"/>
              <w:jc w:val="left"/>
              <w:rPr>
                <w:rFonts w:cs="Arial"/>
                <w:color w:val="000000"/>
                <w:szCs w:val="20"/>
              </w:rPr>
            </w:pPr>
            <w:r w:rsidRPr="00AE7CCF">
              <w:rPr>
                <w:rFonts w:cs="Arial"/>
                <w:color w:val="000000"/>
                <w:szCs w:val="20"/>
              </w:rPr>
              <w:t>Continuous</w:t>
            </w:r>
          </w:p>
        </w:tc>
        <w:tc>
          <w:tcPr>
            <w:tcW w:w="1938" w:type="dxa"/>
            <w:tcBorders>
              <w:bottom w:val="nil"/>
            </w:tcBorders>
            <w:shd w:val="clear" w:color="auto" w:fill="auto"/>
            <w:vAlign w:val="center"/>
          </w:tcPr>
          <w:p w14:paraId="791E162E" w14:textId="50F6D09D" w:rsidR="00BA5720" w:rsidRPr="00AE7CCF" w:rsidRDefault="00BA5720" w:rsidP="00BA5720">
            <w:pPr>
              <w:spacing w:before="0" w:after="0" w:line="240" w:lineRule="auto"/>
              <w:jc w:val="left"/>
              <w:rPr>
                <w:rFonts w:cs="Arial"/>
                <w:color w:val="000000"/>
                <w:szCs w:val="20"/>
              </w:rPr>
            </w:pPr>
            <w:r w:rsidRPr="00AE7CCF">
              <w:rPr>
                <w:rFonts w:cs="Arial"/>
                <w:color w:val="000000"/>
                <w:szCs w:val="20"/>
              </w:rPr>
              <w:t>Midline</w:t>
            </w:r>
          </w:p>
        </w:tc>
      </w:tr>
      <w:tr w:rsidR="00BA5720" w:rsidRPr="00AE7CCF" w14:paraId="7668229E" w14:textId="77777777" w:rsidTr="0034208D">
        <w:trPr>
          <w:trHeight w:val="269"/>
        </w:trPr>
        <w:tc>
          <w:tcPr>
            <w:tcW w:w="5040" w:type="dxa"/>
            <w:tcBorders>
              <w:top w:val="nil"/>
              <w:bottom w:val="nil"/>
            </w:tcBorders>
            <w:shd w:val="clear" w:color="auto" w:fill="auto"/>
            <w:vAlign w:val="center"/>
          </w:tcPr>
          <w:p w14:paraId="6AD2CCD8" w14:textId="150E4FC0" w:rsidR="005B62FA" w:rsidRPr="00AE7CCF" w:rsidRDefault="00BA5720" w:rsidP="00BA5720">
            <w:pPr>
              <w:spacing w:before="0" w:after="0" w:line="240" w:lineRule="auto"/>
              <w:jc w:val="left"/>
              <w:rPr>
                <w:rFonts w:cs="Arial"/>
                <w:color w:val="000000"/>
                <w:szCs w:val="20"/>
              </w:rPr>
            </w:pPr>
            <w:r w:rsidRPr="00AE7CCF">
              <w:rPr>
                <w:rFonts w:cs="Arial"/>
                <w:color w:val="000000"/>
                <w:szCs w:val="20"/>
              </w:rPr>
              <w:t>Height-for-age (children 30-48 months)</w:t>
            </w:r>
          </w:p>
        </w:tc>
        <w:tc>
          <w:tcPr>
            <w:tcW w:w="2520" w:type="dxa"/>
            <w:tcBorders>
              <w:top w:val="nil"/>
              <w:bottom w:val="nil"/>
            </w:tcBorders>
            <w:vAlign w:val="center"/>
          </w:tcPr>
          <w:p w14:paraId="6B5E3B41" w14:textId="0725B90D" w:rsidR="00BA5720" w:rsidRPr="00AE7CCF" w:rsidRDefault="00BA5720" w:rsidP="00BA5720">
            <w:pPr>
              <w:spacing w:before="0" w:after="0" w:line="240" w:lineRule="auto"/>
              <w:jc w:val="left"/>
              <w:rPr>
                <w:rFonts w:cs="Arial"/>
                <w:color w:val="000000"/>
                <w:szCs w:val="20"/>
              </w:rPr>
            </w:pPr>
            <w:r w:rsidRPr="00AE7CCF">
              <w:rPr>
                <w:rFonts w:cs="Arial"/>
                <w:color w:val="000000"/>
                <w:szCs w:val="20"/>
              </w:rPr>
              <w:t>Continuous</w:t>
            </w:r>
          </w:p>
        </w:tc>
        <w:tc>
          <w:tcPr>
            <w:tcW w:w="1938" w:type="dxa"/>
            <w:tcBorders>
              <w:top w:val="nil"/>
              <w:bottom w:val="nil"/>
            </w:tcBorders>
            <w:shd w:val="clear" w:color="auto" w:fill="auto"/>
            <w:vAlign w:val="center"/>
          </w:tcPr>
          <w:p w14:paraId="34095BF4" w14:textId="4D38D7AD" w:rsidR="00BA5720" w:rsidRPr="00AE7CCF" w:rsidRDefault="00BA5720" w:rsidP="00BA5720">
            <w:pPr>
              <w:spacing w:before="0" w:after="0" w:line="240" w:lineRule="auto"/>
              <w:jc w:val="left"/>
              <w:rPr>
                <w:rFonts w:cs="Arial"/>
                <w:color w:val="000000"/>
                <w:szCs w:val="20"/>
              </w:rPr>
            </w:pPr>
            <w:r w:rsidRPr="00AE7CCF">
              <w:rPr>
                <w:rFonts w:cs="Arial"/>
                <w:color w:val="000000"/>
                <w:szCs w:val="20"/>
              </w:rPr>
              <w:t>Endline</w:t>
            </w:r>
          </w:p>
        </w:tc>
      </w:tr>
      <w:tr w:rsidR="001C388C" w:rsidRPr="00AE7CCF" w14:paraId="01C0DD0E" w14:textId="77777777" w:rsidTr="001A75A7">
        <w:trPr>
          <w:trHeight w:val="58"/>
        </w:trPr>
        <w:tc>
          <w:tcPr>
            <w:tcW w:w="5040" w:type="dxa"/>
            <w:tcBorders>
              <w:top w:val="nil"/>
              <w:bottom w:val="single" w:sz="12" w:space="0" w:color="auto"/>
            </w:tcBorders>
            <w:shd w:val="clear" w:color="auto" w:fill="auto"/>
            <w:vAlign w:val="center"/>
          </w:tcPr>
          <w:p w14:paraId="7127D12A" w14:textId="1C0E1DBB" w:rsidR="001C388C" w:rsidRPr="00AE7CCF" w:rsidRDefault="001C388C" w:rsidP="00BA5720">
            <w:pPr>
              <w:spacing w:before="0" w:after="0" w:line="240" w:lineRule="auto"/>
              <w:jc w:val="left"/>
              <w:rPr>
                <w:rFonts w:cs="Arial"/>
                <w:color w:val="000000"/>
                <w:szCs w:val="20"/>
              </w:rPr>
            </w:pPr>
          </w:p>
        </w:tc>
        <w:tc>
          <w:tcPr>
            <w:tcW w:w="2520" w:type="dxa"/>
            <w:tcBorders>
              <w:top w:val="nil"/>
              <w:bottom w:val="single" w:sz="12" w:space="0" w:color="auto"/>
            </w:tcBorders>
            <w:vAlign w:val="center"/>
          </w:tcPr>
          <w:p w14:paraId="1F903CCF" w14:textId="1FB273B8" w:rsidR="001C388C" w:rsidRPr="00AE7CCF" w:rsidRDefault="001C388C" w:rsidP="00BA5720">
            <w:pPr>
              <w:spacing w:before="0" w:after="0" w:line="240" w:lineRule="auto"/>
              <w:jc w:val="left"/>
              <w:rPr>
                <w:rFonts w:cs="Arial"/>
                <w:color w:val="000000"/>
                <w:szCs w:val="20"/>
              </w:rPr>
            </w:pPr>
          </w:p>
        </w:tc>
        <w:tc>
          <w:tcPr>
            <w:tcW w:w="1938" w:type="dxa"/>
            <w:tcBorders>
              <w:top w:val="nil"/>
              <w:bottom w:val="single" w:sz="12" w:space="0" w:color="auto"/>
            </w:tcBorders>
            <w:shd w:val="clear" w:color="auto" w:fill="auto"/>
            <w:vAlign w:val="center"/>
          </w:tcPr>
          <w:p w14:paraId="7B79911C" w14:textId="53EF5591" w:rsidR="001C388C" w:rsidRPr="00AE7CCF" w:rsidRDefault="001C388C" w:rsidP="00BA5720">
            <w:pPr>
              <w:spacing w:before="0" w:after="0" w:line="240" w:lineRule="auto"/>
              <w:jc w:val="left"/>
              <w:rPr>
                <w:rFonts w:cs="Arial"/>
                <w:color w:val="000000"/>
                <w:szCs w:val="20"/>
              </w:rPr>
            </w:pPr>
          </w:p>
        </w:tc>
      </w:tr>
      <w:bookmarkEnd w:id="29"/>
      <w:bookmarkEnd w:id="30"/>
      <w:bookmarkEnd w:id="31"/>
    </w:tbl>
    <w:p w14:paraId="17AD1310" w14:textId="77777777" w:rsidR="00831C3D" w:rsidRDefault="00831C3D" w:rsidP="006D0688"/>
    <w:p w14:paraId="58786009" w14:textId="272E8BF0" w:rsidR="00831C3D" w:rsidRDefault="00396E10" w:rsidP="006D0688">
      <w:r>
        <w:t xml:space="preserve">We also measure the impact on a range of </w:t>
      </w:r>
      <w:r w:rsidR="006D0688" w:rsidRPr="006D0688">
        <w:t xml:space="preserve">secondary outcomes </w:t>
      </w:r>
      <w:r>
        <w:t>that a</w:t>
      </w:r>
      <w:r w:rsidR="006D0688" w:rsidRPr="006D0688">
        <w:t xml:space="preserve">re listed in Table </w:t>
      </w:r>
      <w:r w:rsidR="00831C3D">
        <w:t>3</w:t>
      </w:r>
      <w:r w:rsidR="006D0688" w:rsidRPr="006D0688">
        <w:t>.</w:t>
      </w:r>
      <w:r>
        <w:t xml:space="preserve"> </w:t>
      </w:r>
      <w:r w:rsidR="00F554B4">
        <w:t>For nutritional outcomes,</w:t>
      </w:r>
      <w:r w:rsidR="00295B7A">
        <w:t xml:space="preserve"> we consider child stunting</w:t>
      </w:r>
      <w:r w:rsidR="001F549D">
        <w:t xml:space="preserve"> (</w:t>
      </w:r>
      <w:r w:rsidR="00295B7A">
        <w:t>a binary indicator obtaining value 1 if HAZ&lt;-2 and zero otherwise</w:t>
      </w:r>
      <w:r w:rsidR="001F549D">
        <w:t>) as a complementary measure</w:t>
      </w:r>
      <w:r w:rsidR="00295B7A">
        <w:t xml:space="preserve">. </w:t>
      </w:r>
      <w:bookmarkStart w:id="32" w:name="_Hlk136594869"/>
      <w:r w:rsidR="00295B7A">
        <w:t>We prefer to use</w:t>
      </w:r>
      <w:r w:rsidR="001A75A7">
        <w:t xml:space="preserve"> a</w:t>
      </w:r>
      <w:r w:rsidR="00295B7A">
        <w:t xml:space="preserve"> continuous measure (HAZ) over a binary (stunting) one because of gains in statistical power </w:t>
      </w:r>
      <w:r w:rsidR="00295B7A">
        <w:fldChar w:fldCharType="begin"/>
      </w:r>
      <w:r w:rsidR="003E36AC">
        <w:instrText xml:space="preserve"> ADDIN EN.CITE &lt;EndNote&gt;&lt;Cite&gt;&lt;Author&gt;Royston&lt;/Author&gt;&lt;Year&gt;2006&lt;/Year&gt;&lt;RecNum&gt;1523&lt;/RecNum&gt;&lt;DisplayText&gt;(Royston et al., 2006)&lt;/DisplayText&gt;&lt;record&gt;&lt;rec-number&gt;1523&lt;/rec-number&gt;&lt;foreign-keys&gt;&lt;key app="EN" db-id="9x0erf0zjf29fkerve3vt0te2rwzx959avzx" timestamp="1474442726"&gt;1523&lt;/key&gt;&lt;/foreign-keys&gt;&lt;ref-type name="Journal Article"&gt;17&lt;/ref-type&gt;&lt;contributors&gt;&lt;authors&gt;&lt;author&gt;Royston, Patrick&lt;/author&gt;&lt;author&gt;Altman, Douglas G&lt;/author&gt;&lt;author&gt;Sauerbrei, Willi&lt;/author&gt;&lt;/authors&gt;&lt;/contributors&gt;&lt;titles&gt;&lt;title&gt;Dichotomizing continuous predictors in multiple regression: a bad idea&lt;/title&gt;&lt;secondary-title&gt;Statistics in medicine&lt;/secondary-title&gt;&lt;/titles&gt;&lt;periodical&gt;&lt;full-title&gt;Statistics in medicine&lt;/full-title&gt;&lt;/periodical&gt;&lt;pages&gt;127-141&lt;/pages&gt;&lt;volume&gt;25&lt;/volume&gt;&lt;number&gt;1&lt;/number&gt;&lt;dates&gt;&lt;year&gt;2006&lt;/year&gt;&lt;/dates&gt;&lt;isbn&gt;1097-0258&lt;/isbn&gt;&lt;urls&gt;&lt;/urls&gt;&lt;/record&gt;&lt;/Cite&gt;&lt;/EndNote&gt;</w:instrText>
      </w:r>
      <w:r w:rsidR="00295B7A">
        <w:fldChar w:fldCharType="separate"/>
      </w:r>
      <w:r w:rsidR="003E36AC">
        <w:rPr>
          <w:noProof/>
        </w:rPr>
        <w:t>(Royston et al., 2006)</w:t>
      </w:r>
      <w:r w:rsidR="00295B7A">
        <w:fldChar w:fldCharType="end"/>
      </w:r>
      <w:r w:rsidR="00295B7A">
        <w:t xml:space="preserve"> and because the biological grounds for the HAZ </w:t>
      </w:r>
      <w:r w:rsidR="00B27932">
        <w:t xml:space="preserve">&lt; </w:t>
      </w:r>
      <w:r w:rsidR="00295B7A">
        <w:t xml:space="preserve">-2 threshold are not well justified </w:t>
      </w:r>
      <w:r w:rsidR="00295B7A">
        <w:fldChar w:fldCharType="begin"/>
      </w:r>
      <w:r w:rsidR="003E36AC">
        <w:instrText xml:space="preserve"> ADDIN EN.CITE &lt;EndNote&gt;&lt;Cite&gt;&lt;Author&gt;Perumal&lt;/Author&gt;&lt;Year&gt;2018&lt;/Year&gt;&lt;RecNum&gt;2539&lt;/RecNum&gt;&lt;DisplayText&gt;(Perumal et al., 2018)&lt;/DisplayText&gt;&lt;record&gt;&lt;rec-number&gt;2539&lt;/rec-number&gt;&lt;foreign-keys&gt;&lt;key app="EN" db-id="9x0erf0zjf29fkerve3vt0te2rwzx959avzx" timestamp="1579764946"&gt;2539&lt;/key&gt;&lt;/foreign-keys&gt;&lt;ref-type name="Journal Article"&gt;17&lt;/ref-type&gt;&lt;contributors&gt;&lt;authors&gt;&lt;author&gt;Perumal, Nandita&lt;/author&gt;&lt;author&gt;Bassani, Diego G&lt;/author&gt;&lt;author&gt;Roth, Daniel E&lt;/author&gt;&lt;/authors&gt;&lt;/contributors&gt;&lt;titles&gt;&lt;title&gt;Use and misuse of stunting as a measure of child health&lt;/title&gt;&lt;secondary-title&gt;The Journal of Nutrition&lt;/secondary-title&gt;&lt;/titles&gt;&lt;periodical&gt;&lt;full-title&gt;The Journal of Nutrition&lt;/full-title&gt;&lt;/periodical&gt;&lt;pages&gt;311-315&lt;/pages&gt;&lt;volume&gt;148&lt;/volume&gt;&lt;number&gt;3&lt;/number&gt;&lt;dates&gt;&lt;year&gt;2018&lt;/year&gt;&lt;/dates&gt;&lt;isbn&gt;0022-3166&lt;/isbn&gt;&lt;urls&gt;&lt;/urls&gt;&lt;/record&gt;&lt;/Cite&gt;&lt;/EndNote&gt;</w:instrText>
      </w:r>
      <w:r w:rsidR="00295B7A">
        <w:fldChar w:fldCharType="separate"/>
      </w:r>
      <w:r w:rsidR="003E36AC">
        <w:rPr>
          <w:noProof/>
        </w:rPr>
        <w:t>(Perumal et al., 2018)</w:t>
      </w:r>
      <w:r w:rsidR="00295B7A">
        <w:fldChar w:fldCharType="end"/>
      </w:r>
      <w:r w:rsidR="00295B7A">
        <w:t>.</w:t>
      </w:r>
      <w:r w:rsidR="00F554B4">
        <w:t xml:space="preserve"> </w:t>
      </w:r>
      <w:bookmarkEnd w:id="32"/>
      <w:r w:rsidR="00295B7A">
        <w:t xml:space="preserve">Moreover, we measure the impacts on HAZ also </w:t>
      </w:r>
      <w:r w:rsidR="001F549D">
        <w:t>at</w:t>
      </w:r>
      <w:r w:rsidR="00295B7A">
        <w:t xml:space="preserve"> midline. However, at this point, children ar</w:t>
      </w:r>
      <w:r w:rsidR="00295B7A" w:rsidRPr="00295B7A">
        <w:t xml:space="preserve">e between 6-23 months of age and therefore, the process of linear growth faltering </w:t>
      </w:r>
      <w:r w:rsidR="00295B7A">
        <w:t>is still likely to be ongoing for many children in our sample</w:t>
      </w:r>
      <w:r w:rsidR="00295B7A" w:rsidRPr="00295B7A">
        <w:t>.</w:t>
      </w:r>
      <w:r w:rsidR="00295B7A">
        <w:t xml:space="preserve"> </w:t>
      </w:r>
    </w:p>
    <w:p w14:paraId="695C94AF" w14:textId="301659A2" w:rsidR="00295B7A" w:rsidRDefault="009C4B50" w:rsidP="006D0688">
      <w:r>
        <w:t xml:space="preserve">Weight </w:t>
      </w:r>
      <w:r w:rsidR="00DA08C2">
        <w:t>for</w:t>
      </w:r>
      <w:r>
        <w:t xml:space="preserve"> height z-score (WHZ) is an indicator reflecting short-term changes in children’s nutritional status. Children are considered wasted if WHZ &lt; -2. While SPIR may reduce the risk of child wasting, it is not the primary programmatic objective. In addition, since </w:t>
      </w:r>
      <w:r w:rsidR="0063539D">
        <w:t xml:space="preserve">WHZ and </w:t>
      </w:r>
      <w:r>
        <w:t xml:space="preserve">wasting prevalence </w:t>
      </w:r>
      <w:r w:rsidR="0063539D">
        <w:t xml:space="preserve">are </w:t>
      </w:r>
      <w:r>
        <w:t xml:space="preserve">highly sensitive to seasonal fluctuations </w:t>
      </w:r>
      <w:r>
        <w:fldChar w:fldCharType="begin"/>
      </w:r>
      <w:r w:rsidR="003E36AC">
        <w:instrText xml:space="preserve"> ADDIN EN.CITE &lt;EndNote&gt;&lt;Cite&gt;&lt;Author&gt;Wells&lt;/Author&gt;&lt;Year&gt;2019&lt;/Year&gt;&lt;RecNum&gt;2454&lt;/RecNum&gt;&lt;DisplayText&gt;(Wells et al., 2019)&lt;/DisplayText&gt;&lt;record&gt;&lt;rec-number&gt;2454&lt;/rec-number&gt;&lt;foreign-keys&gt;&lt;key app="EN" db-id="9x0erf0zjf29fkerve3vt0te2rwzx959avzx" timestamp="1570474647"&gt;2454&lt;/key&gt;&lt;/foreign-keys&gt;&lt;ref-type name="Journal Article"&gt;17&lt;/ref-type&gt;&lt;contributors&gt;&lt;authors&gt;&lt;author&gt;Wells, Jonathan CK&lt;/author&gt;&lt;author&gt;Briend, André&lt;/author&gt;&lt;author&gt;Boyd, Erin M&lt;/author&gt;&lt;author&gt;Berkely, James A&lt;/author&gt;&lt;author&gt;Hall, Andrew&lt;/author&gt;&lt;author&gt;Isanaka, Sheila&lt;/author&gt;&lt;author&gt;Webb, Patrick&lt;/author&gt;&lt;author&gt;Khara, Tanya&lt;/author&gt;&lt;author&gt;Dolan, Carmel&lt;/author&gt;&lt;/authors&gt;&lt;/contributors&gt;&lt;titles&gt;&lt;title&gt;Beyond wasted and stunted—a major shift to fight child undernutrition&lt;/title&gt;&lt;secondary-title&gt;The Lancet Child &amp;amp; Adolescent Health&lt;/secondary-title&gt;&lt;/titles&gt;&lt;periodical&gt;&lt;full-title&gt;The Lancet Child &amp;amp; Adolescent Health&lt;/full-title&gt;&lt;/periodical&gt;&lt;dates&gt;&lt;year&gt;2019&lt;/year&gt;&lt;/dates&gt;&lt;isbn&gt;2352-4642&lt;/isbn&gt;&lt;urls&gt;&lt;/urls&gt;&lt;/record&gt;&lt;/Cite&gt;&lt;/EndNote&gt;</w:instrText>
      </w:r>
      <w:r>
        <w:fldChar w:fldCharType="separate"/>
      </w:r>
      <w:r w:rsidR="003E36AC">
        <w:rPr>
          <w:noProof/>
        </w:rPr>
        <w:t>(Wells et al., 2019)</w:t>
      </w:r>
      <w:r>
        <w:fldChar w:fldCharType="end"/>
      </w:r>
      <w:r>
        <w:t xml:space="preserve">, more frequent surveys would be </w:t>
      </w:r>
      <w:r w:rsidR="00295B7A">
        <w:t xml:space="preserve">needed </w:t>
      </w:r>
      <w:r>
        <w:t xml:space="preserve">to maximize the ability </w:t>
      </w:r>
      <w:r>
        <w:lastRenderedPageBreak/>
        <w:t>to detect impacts on th</w:t>
      </w:r>
      <w:r w:rsidR="00295B7A">
        <w:t>is</w:t>
      </w:r>
      <w:r>
        <w:t xml:space="preserve"> outcome. Considering </w:t>
      </w:r>
      <w:r w:rsidR="0010068B">
        <w:t>these factors</w:t>
      </w:r>
      <w:r>
        <w:t xml:space="preserve">, WHZ </w:t>
      </w:r>
      <w:r w:rsidR="0010068B">
        <w:t xml:space="preserve">as </w:t>
      </w:r>
      <w:r w:rsidR="00161C49">
        <w:t xml:space="preserve">measured at the midline and endline </w:t>
      </w:r>
      <w:r w:rsidR="00451316">
        <w:t xml:space="preserve">is </w:t>
      </w:r>
      <w:r>
        <w:t>considered as</w:t>
      </w:r>
      <w:r w:rsidR="0063539D">
        <w:t xml:space="preserve"> </w:t>
      </w:r>
      <w:r w:rsidR="00451316">
        <w:t xml:space="preserve">a </w:t>
      </w:r>
      <w:r>
        <w:t>secondary outcome.</w:t>
      </w:r>
      <w:r w:rsidR="005B550A">
        <w:t xml:space="preserve"> </w:t>
      </w:r>
    </w:p>
    <w:p w14:paraId="0B29309A" w14:textId="2FF13C2D" w:rsidR="005B550A" w:rsidRDefault="005B550A" w:rsidP="00C919E8">
      <w:r>
        <w:t xml:space="preserve">As a complementary measure </w:t>
      </w:r>
      <w:r w:rsidR="00EE27CD">
        <w:t>of</w:t>
      </w:r>
      <w:r>
        <w:t xml:space="preserve"> diet quality, we also assess the impact on minimum acceptable diet (MAD), a combination of sufficient meal frequency and diet diversity. </w:t>
      </w:r>
      <w:r w:rsidR="007D00AD">
        <w:t xml:space="preserve">We will construct this indicator following the </w:t>
      </w:r>
      <w:r w:rsidR="007D00AD">
        <w:fldChar w:fldCharType="begin"/>
      </w:r>
      <w:r w:rsidR="007D00AD">
        <w:instrText xml:space="preserve"> ADDIN EN.CITE &lt;EndNote&gt;&lt;Cite AuthorYear="1"&gt;&lt;Author&gt;WHO&lt;/Author&gt;&lt;Year&gt;2021&lt;/Year&gt;&lt;RecNum&gt;3785&lt;/RecNum&gt;&lt;DisplayText&gt;WHO and UNICEF (2021)&lt;/DisplayText&gt;&lt;record&gt;&lt;rec-number&gt;3785&lt;/rec-number&gt;&lt;foreign-keys&gt;&lt;key app="EN" db-id="9x0erf0zjf29fkerve3vt0te2rwzx959avzx" timestamp="1623238196"&gt;3785&lt;/key&gt;&lt;/foreign-keys&gt;&lt;ref-type name="Electronic Article"&gt;43&lt;/ref-type&gt;&lt;contributors&gt;&lt;authors&gt;&lt;author&gt;WHO&lt;/author&gt;&lt;author&gt;UNICEF&lt;/author&gt;&lt;/authors&gt;&lt;/contributors&gt;&lt;titles&gt;&lt;title&gt;Indicators for assessing infant and young child feeding practices: definitions and measurement methods&lt;/title&gt;&lt;/titles&gt;&lt;dates&gt;&lt;year&gt;2021&lt;/year&gt;&lt;/dates&gt;&lt;pub-location&gt;Geneva&lt;/pub-location&gt;&lt;publisher&gt;World Health Organization (WHO) and the United Nations Children’s Fund (UNICEF)&lt;/publisher&gt;&lt;isbn&gt;9240018387&lt;/isbn&gt;&lt;urls&gt;&lt;/urls&gt;&lt;/record&gt;&lt;/Cite&gt;&lt;/EndNote&gt;</w:instrText>
      </w:r>
      <w:r w:rsidR="007D00AD">
        <w:fldChar w:fldCharType="separate"/>
      </w:r>
      <w:r w:rsidR="007D00AD">
        <w:rPr>
          <w:noProof/>
        </w:rPr>
        <w:t>WHO and UNICEF (2021)</w:t>
      </w:r>
      <w:r w:rsidR="007D00AD">
        <w:fldChar w:fldCharType="end"/>
      </w:r>
      <w:r w:rsidR="007D00AD">
        <w:t xml:space="preserve"> guidelines. </w:t>
      </w:r>
      <w:r>
        <w:t xml:space="preserve">In this context, very few children receive MAD </w:t>
      </w:r>
      <w:r>
        <w:fldChar w:fldCharType="begin"/>
      </w:r>
      <w:r w:rsidR="003E36AC">
        <w:instrText xml:space="preserve"> ADDIN EN.CITE &lt;EndNote&gt;&lt;Cite&gt;&lt;Author&gt;CSA&lt;/Author&gt;&lt;Year&gt;2016&lt;/Year&gt;&lt;RecNum&gt;1816&lt;/RecNum&gt;&lt;DisplayText&gt;(Berhane et al., 2020; CSA and ICF, 2016)&lt;/DisplayText&gt;&lt;record&gt;&lt;rec-number&gt;1816&lt;/rec-number&gt;&lt;foreign-keys&gt;&lt;key app="EN" db-id="9x0erf0zjf29fkerve3vt0te2rwzx959avzx" timestamp="1504002021"&gt;1816&lt;/key&gt;&lt;/foreign-keys&gt;&lt;ref-type name="Report"&gt;27&lt;/ref-type&gt;&lt;contributors&gt;&lt;authors&gt;&lt;author&gt;CSA&lt;/author&gt;&lt;author&gt;ICF&lt;/author&gt;&lt;/authors&gt;&lt;/contributors&gt;&lt;titles&gt;&lt;title&gt;Ethiopia Demographic and Health Survey 2016&lt;/title&gt;&lt;/titles&gt;&lt;dates&gt;&lt;year&gt;2016&lt;/year&gt;&lt;/dates&gt;&lt;pub-location&gt;Addis Ababa, Ethiopia, and Rockville, Maryland, USA&lt;/pub-location&gt;&lt;publisher&gt;Central Statistical Agency (CSA) of Ethiopia and ICF&lt;/publisher&gt;&lt;urls&gt;&lt;/urls&gt;&lt;/record&gt;&lt;/Cite&gt;&lt;Cite&gt;&lt;Author&gt;Berhane&lt;/Author&gt;&lt;Year&gt;2020&lt;/Year&gt;&lt;RecNum&gt;2266&lt;/RecNum&gt;&lt;record&gt;&lt;rec-number&gt;2266&lt;/rec-number&gt;&lt;foreign-keys&gt;&lt;key app="EN" db-id="9x0erf0zjf29fkerve3vt0te2rwzx959avzx" timestamp="1542358072"&gt;2266&lt;/key&gt;&lt;/foreign-keys&gt;&lt;ref-type name="Report"&gt;27&lt;/ref-type&gt;&lt;contributors&gt;&lt;authors&gt;&lt;author&gt;Guush Berhane&lt;/author&gt;&lt;author&gt;Jenna Golan&lt;/author&gt;&lt;author&gt;Kalle Hirvonen&lt;/author&gt;&lt;author&gt;John Hoddinott&lt;/author&gt;&lt;author&gt;Sunny Kim&lt;/author&gt;&lt;author&gt;Alemayehu Seyoum Taffesse&lt;/author&gt;&lt;author&gt;Kibrewossen Abay&lt;/author&gt;&lt;author&gt;Thomas Assefa&lt;/author&gt;&lt;author&gt;Yetmwork Habte&lt;/author&gt;&lt;author&gt;Mehari Hiluf&lt;/author&gt;&lt;author&gt;Bethelem Koru&lt;/author&gt;&lt;author&gt;Fanaye Tadesse&lt;/author&gt;&lt;author&gt;Feiruz Yimer&lt;/author&gt;&lt;/authors&gt;&lt;/contributors&gt;&lt;titles&gt;&lt;title&gt;Evaluation of the Nutrition-sensitive Features of the Fourth Phase of Ethiopia&amp;apos;s Productive Safety Net Programme&lt;/title&gt;&lt;secondary-title&gt;IFPRI-ESSP Working Paper&lt;/secondary-title&gt;&lt;/titles&gt;&lt;periodical&gt;&lt;full-title&gt;IFPRI-ESSP working paper&lt;/full-title&gt;&lt;/periodical&gt;&lt;volume&gt;140&lt;/volume&gt;&lt;dates&gt;&lt;year&gt;2020&lt;/year&gt;&lt;/dates&gt;&lt;pub-location&gt;Addis Ababa&lt;/pub-location&gt;&lt;publisher&gt;International Food Policy Research Institute (IFPRI), Ethiopia Strategy Support Program (ESSP)&lt;/publisher&gt;&lt;urls&gt;&lt;/urls&gt;&lt;/record&gt;&lt;/Cite&gt;&lt;/EndNote&gt;</w:instrText>
      </w:r>
      <w:r>
        <w:fldChar w:fldCharType="separate"/>
      </w:r>
      <w:r w:rsidR="003E36AC">
        <w:rPr>
          <w:noProof/>
        </w:rPr>
        <w:t>(Berhane et al., 2020; CSA and ICF, 2016)</w:t>
      </w:r>
      <w:r>
        <w:fldChar w:fldCharType="end"/>
      </w:r>
      <w:r>
        <w:t xml:space="preserve">. Since the main constraint relates to dietary diversity </w:t>
      </w:r>
      <w:r>
        <w:fldChar w:fldCharType="begin"/>
      </w:r>
      <w:r w:rsidR="003E36AC">
        <w:instrText xml:space="preserve"> ADDIN EN.CITE &lt;EndNote&gt;&lt;Cite&gt;&lt;Author&gt;CSA&lt;/Author&gt;&lt;Year&gt;2016&lt;/Year&gt;&lt;RecNum&gt;1816&lt;/RecNum&gt;&lt;DisplayText&gt;(CSA and ICF, 2016)&lt;/DisplayText&gt;&lt;record&gt;&lt;rec-number&gt;1816&lt;/rec-number&gt;&lt;foreign-keys&gt;&lt;key app="EN" db-id="9x0erf0zjf29fkerve3vt0te2rwzx959avzx" timestamp="1504002021"&gt;1816&lt;/key&gt;&lt;/foreign-keys&gt;&lt;ref-type name="Report"&gt;27&lt;/ref-type&gt;&lt;contributors&gt;&lt;authors&gt;&lt;author&gt;CSA&lt;/author&gt;&lt;author&gt;ICF&lt;/author&gt;&lt;/authors&gt;&lt;/contributors&gt;&lt;titles&gt;&lt;title&gt;Ethiopia Demographic and Health Survey 2016&lt;/title&gt;&lt;/titles&gt;&lt;dates&gt;&lt;year&gt;2016&lt;/year&gt;&lt;/dates&gt;&lt;pub-location&gt;Addis Ababa, Ethiopia, and Rockville, Maryland, USA&lt;/pub-location&gt;&lt;publisher&gt;Central Statistical Agency (CSA) of Ethiopia and ICF&lt;/publisher&gt;&lt;urls&gt;&lt;/urls&gt;&lt;/record&gt;&lt;/Cite&gt;&lt;/EndNote&gt;</w:instrText>
      </w:r>
      <w:r>
        <w:fldChar w:fldCharType="separate"/>
      </w:r>
      <w:r w:rsidR="003E36AC">
        <w:rPr>
          <w:noProof/>
        </w:rPr>
        <w:t>(CSA and ICF, 2016)</w:t>
      </w:r>
      <w:r>
        <w:fldChar w:fldCharType="end"/>
      </w:r>
      <w:r>
        <w:t xml:space="preserve">, we focus on </w:t>
      </w:r>
      <w:r w:rsidR="00CC796F">
        <w:t xml:space="preserve">dietary diversity </w:t>
      </w:r>
      <w:r>
        <w:t xml:space="preserve">as our primary outcome measure instead of MAD. </w:t>
      </w:r>
    </w:p>
    <w:p w14:paraId="28FD2A55" w14:textId="3C68D3BC" w:rsidR="00C919E8" w:rsidRDefault="00C919E8" w:rsidP="0054706F">
      <w:pPr>
        <w:rPr>
          <w:rFonts w:cs="Arial"/>
          <w:color w:val="000000"/>
          <w:szCs w:val="20"/>
        </w:rPr>
      </w:pPr>
      <w:r>
        <w:rPr>
          <w:rFonts w:cs="Arial"/>
          <w:color w:val="000000"/>
          <w:szCs w:val="20"/>
        </w:rPr>
        <w:t>The e</w:t>
      </w:r>
      <w:r w:rsidR="005B550A" w:rsidRPr="009E45C9">
        <w:rPr>
          <w:rFonts w:cs="Arial"/>
          <w:color w:val="000000"/>
          <w:szCs w:val="20"/>
        </w:rPr>
        <w:t>arly childhood development</w:t>
      </w:r>
      <w:r w:rsidR="00CC796F">
        <w:rPr>
          <w:rFonts w:cs="Arial"/>
          <w:color w:val="000000"/>
          <w:szCs w:val="20"/>
        </w:rPr>
        <w:t xml:space="preserve"> (ECD)</w:t>
      </w:r>
      <w:r w:rsidR="005B550A" w:rsidRPr="009E45C9">
        <w:rPr>
          <w:rFonts w:cs="Arial"/>
          <w:color w:val="000000"/>
          <w:szCs w:val="20"/>
        </w:rPr>
        <w:t xml:space="preserve"> score</w:t>
      </w:r>
      <w:r w:rsidR="008274AD">
        <w:rPr>
          <w:rFonts w:cs="Arial"/>
          <w:color w:val="000000"/>
          <w:szCs w:val="20"/>
        </w:rPr>
        <w:t xml:space="preserve"> will allow us to capture the effects of the interventions of interest on early childhood development.</w:t>
      </w:r>
      <w:r w:rsidR="00CC796F">
        <w:rPr>
          <w:rFonts w:cs="Arial"/>
          <w:color w:val="000000"/>
          <w:szCs w:val="20"/>
        </w:rPr>
        <w:t xml:space="preserve"> </w:t>
      </w:r>
      <w:r w:rsidR="008274AD">
        <w:rPr>
          <w:rFonts w:cs="Arial"/>
          <w:color w:val="000000"/>
          <w:szCs w:val="20"/>
        </w:rPr>
        <w:t xml:space="preserve">Recent evidence from Niger suggests a behavioral change communication intervention with a broad focus on nutrition and parenting practices did significantly enhance child development (without any shifts in anthropometrics) </w:t>
      </w:r>
      <w:r w:rsidR="00CC796F">
        <w:rPr>
          <w:rFonts w:cs="Arial"/>
          <w:color w:val="000000"/>
          <w:szCs w:val="20"/>
        </w:rPr>
        <w:fldChar w:fldCharType="begin"/>
      </w:r>
      <w:r w:rsidR="00CC796F">
        <w:rPr>
          <w:rFonts w:cs="Arial"/>
          <w:color w:val="000000"/>
          <w:szCs w:val="20"/>
        </w:rPr>
        <w:instrText xml:space="preserve"> ADDIN EN.CITE &lt;EndNote&gt;&lt;Cite&gt;&lt;Author&gt;Premand&lt;/Author&gt;&lt;Year&gt;2022&lt;/Year&gt;&lt;RecNum&gt;4106&lt;/RecNum&gt;&lt;DisplayText&gt;(Premand and Barry, 2022)&lt;/DisplayText&gt;&lt;record&gt;&lt;rec-number&gt;4106&lt;/rec-number&gt;&lt;foreign-keys&gt;&lt;key app="EN" db-id="9x0erf0zjf29fkerve3vt0te2rwzx959avzx" timestamp="1675256774"&gt;4106&lt;/key&gt;&lt;/foreign-keys&gt;&lt;ref-type name="Journal Article"&gt;17&lt;/ref-type&gt;&lt;contributors&gt;&lt;authors&gt;&lt;author&gt;Premand, Patrick&lt;/author&gt;&lt;author&gt;Barry, Oumar&lt;/author&gt;&lt;/authors&gt;&lt;/contributors&gt;&lt;titles&gt;&lt;title&gt;Behavioral change promotion, cash transfers and early childhood development: Experimental evidence from a government program in a low-income setting&lt;/title&gt;&lt;secondary-title&gt;Journal of Development Economics&lt;/secondary-title&gt;&lt;/titles&gt;&lt;periodical&gt;&lt;full-title&gt;Journal of Development Economics&lt;/full-title&gt;&lt;/periodical&gt;&lt;pages&gt;102921&lt;/pages&gt;&lt;volume&gt;158&lt;/volume&gt;&lt;dates&gt;&lt;year&gt;2022&lt;/year&gt;&lt;/dates&gt;&lt;isbn&gt;0304-3878&lt;/isbn&gt;&lt;urls&gt;&lt;/urls&gt;&lt;/record&gt;&lt;/Cite&gt;&lt;/EndNote&gt;</w:instrText>
      </w:r>
      <w:r w:rsidR="00CC796F">
        <w:rPr>
          <w:rFonts w:cs="Arial"/>
          <w:color w:val="000000"/>
          <w:szCs w:val="20"/>
        </w:rPr>
        <w:fldChar w:fldCharType="separate"/>
      </w:r>
      <w:r w:rsidR="00CC796F">
        <w:rPr>
          <w:rFonts w:cs="Arial"/>
          <w:noProof/>
          <w:color w:val="000000"/>
          <w:szCs w:val="20"/>
        </w:rPr>
        <w:t>(Premand and Barry, 2022)</w:t>
      </w:r>
      <w:r w:rsidR="00CC796F">
        <w:rPr>
          <w:rFonts w:cs="Arial"/>
          <w:color w:val="000000"/>
          <w:szCs w:val="20"/>
        </w:rPr>
        <w:fldChar w:fldCharType="end"/>
      </w:r>
      <w:r w:rsidR="008274AD">
        <w:rPr>
          <w:rFonts w:cs="Arial"/>
          <w:color w:val="000000"/>
          <w:szCs w:val="20"/>
        </w:rPr>
        <w:t>.</w:t>
      </w:r>
      <w:r w:rsidR="00CC796F">
        <w:rPr>
          <w:rFonts w:cs="Arial"/>
          <w:color w:val="000000"/>
          <w:szCs w:val="20"/>
        </w:rPr>
        <w:t xml:space="preserve"> </w:t>
      </w:r>
      <w:r w:rsidR="008274AD">
        <w:rPr>
          <w:rFonts w:cs="Arial"/>
          <w:color w:val="000000"/>
          <w:szCs w:val="20"/>
        </w:rPr>
        <w:t>In this trial, the NCG intervention includes relatively minimal content explicitly focused on early childhood development, though there is some; it is also possible that feeding and caretaking practices promoted by the NCGs (i.e., more active parental engagement in early feeding) could have spillover effects in broader parent-child interactions and thus shape ECD.</w:t>
      </w:r>
      <w:r w:rsidR="00CC796F">
        <w:rPr>
          <w:rFonts w:cs="Arial"/>
          <w:color w:val="000000"/>
          <w:szCs w:val="20"/>
        </w:rPr>
        <w:t xml:space="preserve"> </w:t>
      </w:r>
      <w:r w:rsidR="008274AD">
        <w:rPr>
          <w:rFonts w:cs="Arial"/>
          <w:color w:val="000000"/>
          <w:szCs w:val="20"/>
        </w:rPr>
        <w:t xml:space="preserve">We plan to measure ECD </w:t>
      </w:r>
      <w:r w:rsidR="0010068B">
        <w:rPr>
          <w:rFonts w:cs="Arial"/>
          <w:color w:val="000000"/>
          <w:szCs w:val="20"/>
        </w:rPr>
        <w:t xml:space="preserve">at endline </w:t>
      </w:r>
      <w:r w:rsidR="008274AD">
        <w:rPr>
          <w:rFonts w:cs="Arial"/>
          <w:color w:val="000000"/>
          <w:szCs w:val="20"/>
        </w:rPr>
        <w:t xml:space="preserve">using the Strengths and Difficulties’ Questionnaire (SDQ), also used by Premand </w:t>
      </w:r>
      <w:r w:rsidR="00CC796F">
        <w:rPr>
          <w:rFonts w:cs="Arial"/>
          <w:color w:val="000000"/>
          <w:szCs w:val="20"/>
        </w:rPr>
        <w:t>and Barry</w:t>
      </w:r>
      <w:r w:rsidR="008274AD">
        <w:rPr>
          <w:rFonts w:cs="Arial"/>
          <w:color w:val="000000"/>
          <w:szCs w:val="20"/>
        </w:rPr>
        <w:t>; this is an instrument that has previously been used in Ethiopia</w:t>
      </w:r>
      <w:r w:rsidR="00204D8F">
        <w:rPr>
          <w:rFonts w:cs="Arial"/>
          <w:color w:val="000000"/>
          <w:szCs w:val="20"/>
        </w:rPr>
        <w:t xml:space="preserve"> </w:t>
      </w:r>
      <w:r w:rsidR="00204D8F">
        <w:rPr>
          <w:rFonts w:cs="Arial"/>
          <w:color w:val="000000"/>
          <w:szCs w:val="20"/>
        </w:rPr>
        <w:fldChar w:fldCharType="begin">
          <w:fldData xml:space="preserve">PEVuZE5vdGU+PENpdGU+PEF1dGhvcj5Ib29zZW48L0F1dGhvcj48WWVhcj4yMDE4PC9ZZWFyPjxS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==
</w:fldData>
        </w:fldChar>
      </w:r>
      <w:r w:rsidR="00204D8F">
        <w:rPr>
          <w:rFonts w:cs="Arial"/>
          <w:color w:val="000000"/>
          <w:szCs w:val="20"/>
        </w:rPr>
        <w:instrText xml:space="preserve"> ADDIN EN.CITE </w:instrText>
      </w:r>
      <w:r w:rsidR="00204D8F">
        <w:rPr>
          <w:rFonts w:cs="Arial"/>
          <w:color w:val="000000"/>
          <w:szCs w:val="20"/>
        </w:rPr>
        <w:fldChar w:fldCharType="begin">
          <w:fldData xml:space="preserve">PEVuZE5vdGU+PENpdGU+PEF1dGhvcj5Ib29zZW48L0F1dGhvcj48WWVhcj4yMDE4PC9ZZWFyPjxS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==
</w:fldData>
        </w:fldChar>
      </w:r>
      <w:r w:rsidR="00204D8F">
        <w:rPr>
          <w:rFonts w:cs="Arial"/>
          <w:color w:val="000000"/>
          <w:szCs w:val="20"/>
        </w:rPr>
        <w:instrText xml:space="preserve"> ADDIN EN.CITE.DATA </w:instrText>
      </w:r>
      <w:r w:rsidR="00204D8F">
        <w:rPr>
          <w:rFonts w:cs="Arial"/>
          <w:color w:val="000000"/>
          <w:szCs w:val="20"/>
        </w:rPr>
      </w:r>
      <w:r w:rsidR="00204D8F">
        <w:rPr>
          <w:rFonts w:cs="Arial"/>
          <w:color w:val="000000"/>
          <w:szCs w:val="20"/>
        </w:rPr>
        <w:fldChar w:fldCharType="end"/>
      </w:r>
      <w:r w:rsidR="00204D8F">
        <w:rPr>
          <w:rFonts w:cs="Arial"/>
          <w:color w:val="000000"/>
          <w:szCs w:val="20"/>
        </w:rPr>
      </w:r>
      <w:r w:rsidR="00204D8F">
        <w:rPr>
          <w:rFonts w:cs="Arial"/>
          <w:color w:val="000000"/>
          <w:szCs w:val="20"/>
        </w:rPr>
        <w:fldChar w:fldCharType="separate"/>
      </w:r>
      <w:r w:rsidR="00204D8F">
        <w:rPr>
          <w:rFonts w:cs="Arial"/>
          <w:noProof/>
          <w:color w:val="000000"/>
          <w:szCs w:val="20"/>
        </w:rPr>
        <w:t>(Escueta et al., 2014; Hoosen et al., 2018)</w:t>
      </w:r>
      <w:r w:rsidR="00204D8F">
        <w:rPr>
          <w:rFonts w:cs="Arial"/>
          <w:color w:val="000000"/>
          <w:szCs w:val="20"/>
        </w:rPr>
        <w:fldChar w:fldCharType="end"/>
      </w:r>
      <w:r w:rsidR="008274AD">
        <w:rPr>
          <w:rFonts w:cs="Arial"/>
          <w:color w:val="000000"/>
          <w:szCs w:val="20"/>
        </w:rPr>
        <w:t>, but has not to our knowledge be explicitly validated for this context.</w:t>
      </w:r>
    </w:p>
    <w:p w14:paraId="5EDC5C46" w14:textId="40458401" w:rsidR="00C919E8" w:rsidRPr="009E45C9" w:rsidRDefault="00C919E8" w:rsidP="0054706F">
      <w:pPr>
        <w:rPr>
          <w:rFonts w:cs="Arial"/>
          <w:color w:val="000000"/>
          <w:szCs w:val="20"/>
        </w:rPr>
      </w:pPr>
      <w:r>
        <w:rPr>
          <w:rFonts w:cs="Arial"/>
          <w:color w:val="000000"/>
          <w:szCs w:val="20"/>
        </w:rPr>
        <w:t xml:space="preserve">We also include </w:t>
      </w:r>
      <w:proofErr w:type="gramStart"/>
      <w:r>
        <w:rPr>
          <w:rFonts w:cs="Arial"/>
          <w:color w:val="000000"/>
          <w:szCs w:val="20"/>
        </w:rPr>
        <w:t>a number of</w:t>
      </w:r>
      <w:proofErr w:type="gramEnd"/>
      <w:r>
        <w:rPr>
          <w:rFonts w:cs="Arial"/>
          <w:color w:val="000000"/>
          <w:szCs w:val="20"/>
        </w:rPr>
        <w:t xml:space="preserve"> </w:t>
      </w:r>
      <w:r w:rsidR="00496F85">
        <w:rPr>
          <w:rFonts w:cs="Arial"/>
          <w:color w:val="000000"/>
          <w:szCs w:val="20"/>
        </w:rPr>
        <w:t xml:space="preserve">secondary </w:t>
      </w:r>
      <w:r>
        <w:rPr>
          <w:rFonts w:cs="Arial"/>
          <w:color w:val="000000"/>
          <w:szCs w:val="20"/>
        </w:rPr>
        <w:t>livelihood</w:t>
      </w:r>
      <w:r w:rsidR="0097614C">
        <w:rPr>
          <w:rFonts w:cs="Arial"/>
          <w:color w:val="000000"/>
          <w:szCs w:val="20"/>
        </w:rPr>
        <w:t>s</w:t>
      </w:r>
      <w:r w:rsidR="00496F85">
        <w:rPr>
          <w:rFonts w:cs="Arial"/>
          <w:color w:val="000000"/>
          <w:szCs w:val="20"/>
        </w:rPr>
        <w:t>-related</w:t>
      </w:r>
      <w:r>
        <w:rPr>
          <w:rFonts w:cs="Arial"/>
          <w:color w:val="000000"/>
          <w:szCs w:val="20"/>
        </w:rPr>
        <w:t xml:space="preserve"> outcomes. </w:t>
      </w:r>
      <w:r w:rsidR="001A75A7">
        <w:rPr>
          <w:rFonts w:cs="Arial"/>
          <w:color w:val="000000"/>
          <w:szCs w:val="20"/>
        </w:rPr>
        <w:t xml:space="preserve"> The first is </w:t>
      </w:r>
      <w:r w:rsidR="001A75A7">
        <w:t xml:space="preserve">household consumption </w:t>
      </w:r>
      <w:r w:rsidR="001A75A7">
        <w:fldChar w:fldCharType="begin"/>
      </w:r>
      <w:r w:rsidR="001A75A7">
        <w:instrText xml:space="preserve"> ADDIN EN.CITE &lt;EndNote&gt;&lt;Cite&gt;&lt;Author&gt;Deaton&lt;/Author&gt;&lt;Year&gt;2002&lt;/Year&gt;&lt;RecNum&gt;4005&lt;/RecNum&gt;&lt;Prefix&gt;measured following the guidelines in &lt;/Prefix&gt;&lt;DisplayText&gt;(measured following the guidelines in Deaton and Grosh, 2000; Deaton and Zaidi, 2002)&lt;/DisplayText&gt;&lt;record&gt;&lt;rec-number&gt;4005&lt;/rec-number&gt;&lt;foreign-keys&gt;&lt;key app="EN" db-id="9x0erf0zjf29fkerve3vt0te2rwzx959avzx" timestamp="1656326480"&gt;4005&lt;/key&gt;&lt;/foreign-keys&gt;&lt;ref-type name="Book"&gt;6&lt;/ref-type&gt;&lt;contributors&gt;&lt;authors&gt;&lt;author&gt;Deaton, Angus&lt;/author&gt;&lt;author&gt;Zaidi, Salman&lt;/author&gt;&lt;/authors&gt;&lt;/contributors&gt;&lt;titles&gt;&lt;title&gt;Guidelines for constructing consumption aggregates for welfare analysis&lt;/title&gt;&lt;/titles&gt;&lt;volume&gt;135&lt;/volume&gt;&lt;dates&gt;&lt;year&gt;2002&lt;/year&gt;&lt;/dates&gt;&lt;publisher&gt;World Bank Publications&lt;/publisher&gt;&lt;isbn&gt;0821349902&lt;/isbn&gt;&lt;urls&gt;&lt;/urls&gt;&lt;/record&gt;&lt;/Cite&gt;&lt;Cite&gt;&lt;Author&gt;Deaton&lt;/Author&gt;&lt;Year&gt;2000&lt;/Year&gt;&lt;RecNum&gt;705&lt;/RecNum&gt;&lt;record&gt;&lt;rec-number&gt;705&lt;/rec-number&gt;&lt;foreign-keys&gt;&lt;key app="EN" db-id="9x0erf0zjf29fkerve3vt0te2rwzx959avzx" timestamp="0"&gt;705&lt;/key&gt;&lt;/foreign-keys&gt;&lt;ref-type name="Book Section"&gt;5&lt;/ref-type&gt;&lt;contributors&gt;&lt;authors&gt;&lt;author&gt;Deaton, Angus&lt;/author&gt;&lt;author&gt;Grosh, Margaret&lt;/author&gt;&lt;/authors&gt;&lt;secondary-authors&gt;&lt;author&gt;Margaret Grosh&lt;/author&gt;&lt;author&gt;Paul Glewwe&lt;/author&gt;&lt;/secondary-authors&gt;&lt;/contributors&gt;&lt;titles&gt;&lt;title&gt;Consumption&lt;/title&gt;&lt;secondary-title&gt;Designing Household Survey Questionaires for Developing Countries: Lessons from 15 Years of Living Standards Measurement Study&lt;/secondary-title&gt;&lt;/titles&gt;&lt;pages&gt;91-133&lt;/pages&gt;&lt;volume&gt;1&lt;/volume&gt;&lt;dates&gt;&lt;year&gt;2000&lt;/year&gt;&lt;/dates&gt;&lt;pub-location&gt;Washington D.C.&lt;/pub-location&gt;&lt;publisher&gt;World Bank&lt;/publisher&gt;&lt;urls&gt;&lt;/urls&gt;&lt;/record&gt;&lt;/Cite&gt;&lt;/EndNote&gt;</w:instrText>
      </w:r>
      <w:r w:rsidR="001A75A7">
        <w:fldChar w:fldCharType="separate"/>
      </w:r>
      <w:r w:rsidR="001A75A7">
        <w:rPr>
          <w:noProof/>
        </w:rPr>
        <w:t>(measured following the guidelines in Deaton and Grosh, 2000; Deaton and Zaidi, 2002)</w:t>
      </w:r>
      <w:r w:rsidR="001A75A7">
        <w:fldChar w:fldCharType="end"/>
      </w:r>
      <w:r w:rsidR="001A75A7">
        <w:t xml:space="preserve">.  </w:t>
      </w:r>
      <w:r w:rsidR="001A75A7">
        <w:t xml:space="preserve">Other outcomes of interest include </w:t>
      </w:r>
      <w:r w:rsidR="001A75A7">
        <w:t>a total asset index</w:t>
      </w:r>
      <w:r w:rsidR="00004E9C">
        <w:t>;</w:t>
      </w:r>
      <w:r w:rsidR="001A75A7">
        <w:rPr>
          <w:rStyle w:val="FootnoteReference"/>
        </w:rPr>
        <w:footnoteReference w:id="13"/>
      </w:r>
      <w:r w:rsidR="001A75A7">
        <w:t xml:space="preserve"> </w:t>
      </w:r>
      <w:r w:rsidR="001A75A7">
        <w:t xml:space="preserve">the level of household savings (both a binary variable for reporting any savings, and a continuous variable); </w:t>
      </w:r>
      <w:r>
        <w:rPr>
          <w:rFonts w:cs="Arial"/>
          <w:color w:val="000000"/>
          <w:szCs w:val="20"/>
        </w:rPr>
        <w:t>food security</w:t>
      </w:r>
      <w:r w:rsidR="00161C49">
        <w:rPr>
          <w:rFonts w:cs="Arial"/>
          <w:color w:val="000000"/>
          <w:szCs w:val="20"/>
        </w:rPr>
        <w:t xml:space="preserve"> (</w:t>
      </w:r>
      <w:r>
        <w:rPr>
          <w:rFonts w:cs="Arial"/>
          <w:color w:val="000000"/>
          <w:szCs w:val="20"/>
        </w:rPr>
        <w:t xml:space="preserve">measured using the </w:t>
      </w:r>
      <w:r w:rsidR="00161C49" w:rsidRPr="00161C49">
        <w:rPr>
          <w:rFonts w:cs="Arial"/>
          <w:color w:val="000000"/>
          <w:szCs w:val="20"/>
        </w:rPr>
        <w:t>Food Insecurity Experience Scale</w:t>
      </w:r>
      <w:r w:rsidR="00161C49">
        <w:rPr>
          <w:rFonts w:cs="Arial"/>
          <w:color w:val="000000"/>
          <w:szCs w:val="20"/>
        </w:rPr>
        <w:t>; FIES)</w:t>
      </w:r>
      <w:r>
        <w:rPr>
          <w:rFonts w:cs="Arial"/>
          <w:color w:val="000000"/>
          <w:szCs w:val="20"/>
        </w:rPr>
        <w:t xml:space="preserve">; net income from livestock and non-agricultural production; </w:t>
      </w:r>
      <w:r w:rsidR="001C7F2A">
        <w:rPr>
          <w:rFonts w:cs="Arial"/>
          <w:color w:val="000000"/>
          <w:szCs w:val="20"/>
        </w:rPr>
        <w:t>an index of household livestock assets (constructed using Tropical Livestock Units)</w:t>
      </w:r>
      <w:r w:rsidR="00BD7A64">
        <w:rPr>
          <w:rFonts w:cs="Arial"/>
          <w:color w:val="000000"/>
          <w:szCs w:val="20"/>
        </w:rPr>
        <w:t xml:space="preserve">; </w:t>
      </w:r>
      <w:r>
        <w:rPr>
          <w:rFonts w:cs="Arial"/>
          <w:color w:val="000000"/>
          <w:szCs w:val="20"/>
        </w:rPr>
        <w:t>and credit access.</w:t>
      </w:r>
      <w:r w:rsidR="00F554B4">
        <w:rPr>
          <w:rFonts w:cs="Arial"/>
          <w:color w:val="000000"/>
          <w:szCs w:val="20"/>
        </w:rPr>
        <w:t xml:space="preserve"> The measurement of net income from livestock and non-agricultural production will allow us to assess the effects of the bundled livelihoods interventions in stimulating household entry into new productive activities, particularly livestock production (a preferred livelihood activity in this sample); and the measurement of credit access will allow us to capture the effects of VESA membership on use of credit.</w:t>
      </w:r>
    </w:p>
    <w:p w14:paraId="76AB0E15" w14:textId="77777777" w:rsidR="00B75E95" w:rsidRDefault="00B75E95">
      <w:pPr>
        <w:spacing w:before="0" w:after="160" w:line="259" w:lineRule="auto"/>
        <w:jc w:val="left"/>
        <w:rPr>
          <w:b/>
          <w:bCs/>
          <w:szCs w:val="20"/>
        </w:rPr>
      </w:pPr>
      <w:r>
        <w:br w:type="page"/>
      </w:r>
    </w:p>
    <w:p w14:paraId="2C8C6954" w14:textId="6115B100" w:rsidR="006D0688" w:rsidRPr="00AE7CCF" w:rsidRDefault="006D0688" w:rsidP="00AE7CCF">
      <w:pPr>
        <w:pStyle w:val="Caption"/>
      </w:pPr>
      <w:r w:rsidRPr="00AE7CCF">
        <w:lastRenderedPageBreak/>
        <w:t xml:space="preserve">Table </w:t>
      </w:r>
      <w:fldSimple w:instr=" SEQ Table \* ARABIC ">
        <w:r w:rsidR="00F534DC">
          <w:rPr>
            <w:noProof/>
          </w:rPr>
          <w:t>3</w:t>
        </w:r>
      </w:fldSimple>
      <w:r w:rsidRPr="00AE7CCF">
        <w:t>. Secondary outcomes</w:t>
      </w:r>
    </w:p>
    <w:tbl>
      <w:tblPr>
        <w:tblStyle w:val="1"/>
        <w:tblW w:w="9542" w:type="dxa"/>
        <w:tblBorders>
          <w:top w:val="single" w:sz="12" w:space="0" w:color="auto"/>
          <w:bottom w:val="single" w:sz="12" w:space="0" w:color="000000"/>
        </w:tblBorders>
        <w:tblLayout w:type="fixed"/>
        <w:tblLook w:val="04A0" w:firstRow="1" w:lastRow="0" w:firstColumn="1" w:lastColumn="0" w:noHBand="0" w:noVBand="1"/>
      </w:tblPr>
      <w:tblGrid>
        <w:gridCol w:w="6096"/>
        <w:gridCol w:w="1590"/>
        <w:gridCol w:w="1856"/>
      </w:tblGrid>
      <w:tr w:rsidR="006D0688" w:rsidRPr="009E45C9" w14:paraId="5EF165D3" w14:textId="77777777" w:rsidTr="0054706F">
        <w:trPr>
          <w:trHeight w:val="261"/>
        </w:trPr>
        <w:tc>
          <w:tcPr>
            <w:tcW w:w="6096" w:type="dxa"/>
            <w:tcBorders>
              <w:top w:val="single" w:sz="12" w:space="0" w:color="auto"/>
              <w:bottom w:val="single" w:sz="8" w:space="0" w:color="auto"/>
            </w:tcBorders>
            <w:vAlign w:val="center"/>
          </w:tcPr>
          <w:p w14:paraId="363D51DC" w14:textId="24CDC788" w:rsidR="006D0688" w:rsidRPr="00F70C49" w:rsidRDefault="00F70C49" w:rsidP="00A11C14">
            <w:pPr>
              <w:spacing w:before="0" w:after="0" w:line="240" w:lineRule="auto"/>
              <w:jc w:val="left"/>
              <w:rPr>
                <w:rFonts w:cs="Arial"/>
                <w:b/>
                <w:bCs/>
                <w:iCs/>
                <w:color w:val="000000"/>
                <w:szCs w:val="20"/>
              </w:rPr>
            </w:pPr>
            <w:r w:rsidRPr="00F70C49">
              <w:rPr>
                <w:rFonts w:cs="Arial"/>
                <w:b/>
                <w:bCs/>
                <w:iCs/>
                <w:color w:val="000000"/>
                <w:szCs w:val="20"/>
              </w:rPr>
              <w:t>Outcome</w:t>
            </w:r>
          </w:p>
        </w:tc>
        <w:tc>
          <w:tcPr>
            <w:tcW w:w="1590" w:type="dxa"/>
            <w:tcBorders>
              <w:top w:val="single" w:sz="12" w:space="0" w:color="auto"/>
              <w:bottom w:val="single" w:sz="8" w:space="0" w:color="auto"/>
            </w:tcBorders>
            <w:vAlign w:val="center"/>
          </w:tcPr>
          <w:p w14:paraId="697A2582" w14:textId="77777777" w:rsidR="006D0688" w:rsidRPr="009E45C9" w:rsidRDefault="006D0688" w:rsidP="00A11C14">
            <w:pPr>
              <w:spacing w:before="0" w:after="0" w:line="240" w:lineRule="auto"/>
              <w:jc w:val="left"/>
              <w:rPr>
                <w:rFonts w:cs="Arial"/>
                <w:b/>
                <w:color w:val="000000"/>
                <w:szCs w:val="20"/>
              </w:rPr>
            </w:pPr>
            <w:r w:rsidRPr="009E45C9">
              <w:rPr>
                <w:rFonts w:cs="Arial"/>
                <w:b/>
                <w:color w:val="000000"/>
                <w:szCs w:val="20"/>
              </w:rPr>
              <w:t>Variable type</w:t>
            </w:r>
          </w:p>
        </w:tc>
        <w:tc>
          <w:tcPr>
            <w:tcW w:w="1856" w:type="dxa"/>
            <w:tcBorders>
              <w:top w:val="single" w:sz="12" w:space="0" w:color="auto"/>
              <w:bottom w:val="single" w:sz="8" w:space="0" w:color="auto"/>
            </w:tcBorders>
            <w:vAlign w:val="center"/>
          </w:tcPr>
          <w:p w14:paraId="0DFDDC19" w14:textId="77777777" w:rsidR="006D0688" w:rsidRPr="009E45C9" w:rsidRDefault="006D0688" w:rsidP="00A11C14">
            <w:pPr>
              <w:spacing w:before="0" w:after="0" w:line="240" w:lineRule="auto"/>
              <w:jc w:val="left"/>
              <w:rPr>
                <w:rFonts w:cs="Arial"/>
                <w:b/>
                <w:color w:val="000000"/>
                <w:szCs w:val="20"/>
              </w:rPr>
            </w:pPr>
            <w:r w:rsidRPr="009E45C9">
              <w:rPr>
                <w:rFonts w:cs="Arial"/>
                <w:b/>
                <w:color w:val="000000"/>
                <w:szCs w:val="20"/>
              </w:rPr>
              <w:t>Timing of measurement</w:t>
            </w:r>
          </w:p>
        </w:tc>
      </w:tr>
      <w:tr w:rsidR="00DE5B64" w:rsidRPr="009E45C9" w14:paraId="68F7C36D" w14:textId="77777777" w:rsidTr="00AF3AC2">
        <w:tblPrEx>
          <w:tblLook w:val="0400" w:firstRow="0" w:lastRow="0" w:firstColumn="0" w:lastColumn="0" w:noHBand="0" w:noVBand="1"/>
        </w:tblPrEx>
        <w:trPr>
          <w:trHeight w:val="284"/>
        </w:trPr>
        <w:tc>
          <w:tcPr>
            <w:tcW w:w="6096" w:type="dxa"/>
            <w:tcBorders>
              <w:top w:val="single" w:sz="8" w:space="0" w:color="auto"/>
              <w:bottom w:val="nil"/>
            </w:tcBorders>
            <w:shd w:val="clear" w:color="auto" w:fill="auto"/>
            <w:vAlign w:val="center"/>
          </w:tcPr>
          <w:p w14:paraId="26795623" w14:textId="3D04A12C" w:rsidR="00DE5B64" w:rsidRPr="00AF3AC2" w:rsidRDefault="00DE5B64" w:rsidP="00A11C14">
            <w:pPr>
              <w:spacing w:before="0" w:after="0" w:line="240" w:lineRule="auto"/>
              <w:jc w:val="left"/>
              <w:rPr>
                <w:rFonts w:cs="Arial"/>
                <w:i/>
                <w:iCs/>
                <w:color w:val="000000"/>
                <w:szCs w:val="20"/>
              </w:rPr>
            </w:pPr>
            <w:r>
              <w:rPr>
                <w:rFonts w:cs="Arial"/>
                <w:i/>
                <w:iCs/>
                <w:color w:val="000000"/>
                <w:szCs w:val="20"/>
              </w:rPr>
              <w:t xml:space="preserve">Nutrition and child development </w:t>
            </w:r>
          </w:p>
        </w:tc>
        <w:tc>
          <w:tcPr>
            <w:tcW w:w="1590" w:type="dxa"/>
            <w:tcBorders>
              <w:top w:val="single" w:sz="8" w:space="0" w:color="auto"/>
              <w:bottom w:val="nil"/>
            </w:tcBorders>
            <w:vAlign w:val="center"/>
          </w:tcPr>
          <w:p w14:paraId="17EA5475" w14:textId="77777777" w:rsidR="00DE5B64" w:rsidRPr="009E45C9" w:rsidRDefault="00DE5B64" w:rsidP="00A11C14">
            <w:pPr>
              <w:spacing w:before="0" w:after="0" w:line="240" w:lineRule="auto"/>
              <w:jc w:val="left"/>
              <w:rPr>
                <w:rFonts w:cs="Arial"/>
                <w:color w:val="000000"/>
                <w:szCs w:val="20"/>
              </w:rPr>
            </w:pPr>
          </w:p>
        </w:tc>
        <w:tc>
          <w:tcPr>
            <w:tcW w:w="1856" w:type="dxa"/>
            <w:tcBorders>
              <w:top w:val="single" w:sz="8" w:space="0" w:color="auto"/>
              <w:bottom w:val="nil"/>
            </w:tcBorders>
            <w:shd w:val="clear" w:color="auto" w:fill="auto"/>
            <w:vAlign w:val="center"/>
          </w:tcPr>
          <w:p w14:paraId="13B6DAE2" w14:textId="77777777" w:rsidR="00DE5B64" w:rsidRDefault="00DE5B64" w:rsidP="00A11C14">
            <w:pPr>
              <w:spacing w:before="0" w:after="0" w:line="240" w:lineRule="auto"/>
              <w:jc w:val="left"/>
              <w:rPr>
                <w:rFonts w:cs="Arial"/>
                <w:color w:val="000000"/>
                <w:szCs w:val="20"/>
              </w:rPr>
            </w:pPr>
          </w:p>
        </w:tc>
      </w:tr>
      <w:tr w:rsidR="00295B7A" w:rsidRPr="009E45C9" w14:paraId="411362F5" w14:textId="77777777" w:rsidTr="00AF3AC2">
        <w:tblPrEx>
          <w:tblLook w:val="0400" w:firstRow="0" w:lastRow="0" w:firstColumn="0" w:lastColumn="0" w:noHBand="0" w:noVBand="1"/>
        </w:tblPrEx>
        <w:trPr>
          <w:trHeight w:val="284"/>
        </w:trPr>
        <w:tc>
          <w:tcPr>
            <w:tcW w:w="6096" w:type="dxa"/>
            <w:tcBorders>
              <w:top w:val="nil"/>
              <w:bottom w:val="nil"/>
            </w:tcBorders>
            <w:shd w:val="clear" w:color="auto" w:fill="auto"/>
            <w:vAlign w:val="center"/>
          </w:tcPr>
          <w:p w14:paraId="225D33B3" w14:textId="7875B20F"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Stunting (children 30-</w:t>
            </w:r>
            <w:r w:rsidR="00A12FAB" w:rsidRPr="009E45C9">
              <w:rPr>
                <w:rFonts w:cs="Arial"/>
                <w:color w:val="000000"/>
                <w:szCs w:val="20"/>
              </w:rPr>
              <w:t>4</w:t>
            </w:r>
            <w:r w:rsidR="00A12FAB">
              <w:rPr>
                <w:rFonts w:cs="Arial"/>
                <w:color w:val="000000"/>
                <w:szCs w:val="20"/>
              </w:rPr>
              <w:t>5</w:t>
            </w:r>
            <w:r w:rsidR="00A12FAB" w:rsidRPr="009E45C9">
              <w:rPr>
                <w:rFonts w:cs="Arial"/>
                <w:color w:val="000000"/>
                <w:szCs w:val="20"/>
              </w:rPr>
              <w:t xml:space="preserve"> </w:t>
            </w:r>
            <w:r w:rsidRPr="009E45C9">
              <w:rPr>
                <w:rFonts w:cs="Arial"/>
                <w:color w:val="000000"/>
                <w:szCs w:val="20"/>
              </w:rPr>
              <w:t xml:space="preserve">months)  </w:t>
            </w:r>
          </w:p>
        </w:tc>
        <w:tc>
          <w:tcPr>
            <w:tcW w:w="1590" w:type="dxa"/>
            <w:tcBorders>
              <w:top w:val="nil"/>
              <w:bottom w:val="nil"/>
            </w:tcBorders>
            <w:vAlign w:val="center"/>
          </w:tcPr>
          <w:p w14:paraId="6C9530A4" w14:textId="0A4D4251"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Binary</w:t>
            </w:r>
          </w:p>
        </w:tc>
        <w:tc>
          <w:tcPr>
            <w:tcW w:w="1856" w:type="dxa"/>
            <w:tcBorders>
              <w:top w:val="nil"/>
              <w:bottom w:val="nil"/>
            </w:tcBorders>
            <w:shd w:val="clear" w:color="auto" w:fill="auto"/>
            <w:vAlign w:val="center"/>
          </w:tcPr>
          <w:p w14:paraId="327802E2" w14:textId="72A2B4FF" w:rsidR="00295B7A" w:rsidRPr="009E45C9" w:rsidRDefault="00296D66" w:rsidP="00A11C14">
            <w:pPr>
              <w:spacing w:before="0" w:after="0" w:line="240" w:lineRule="auto"/>
              <w:jc w:val="left"/>
              <w:rPr>
                <w:rFonts w:cs="Arial"/>
                <w:color w:val="000000"/>
                <w:szCs w:val="20"/>
              </w:rPr>
            </w:pPr>
            <w:r>
              <w:rPr>
                <w:rFonts w:cs="Arial"/>
                <w:color w:val="000000"/>
                <w:szCs w:val="20"/>
              </w:rPr>
              <w:t>Midline, e</w:t>
            </w:r>
            <w:r w:rsidR="00295B7A" w:rsidRPr="009E45C9">
              <w:rPr>
                <w:rFonts w:cs="Arial"/>
                <w:color w:val="000000"/>
                <w:szCs w:val="20"/>
              </w:rPr>
              <w:t>ndline</w:t>
            </w:r>
          </w:p>
        </w:tc>
      </w:tr>
      <w:tr w:rsidR="00295B7A" w:rsidRPr="009E45C9" w14:paraId="350409A7" w14:textId="77777777" w:rsidTr="00AF3AC2">
        <w:tblPrEx>
          <w:tblLook w:val="0400" w:firstRow="0" w:lastRow="0" w:firstColumn="0" w:lastColumn="0" w:noHBand="0" w:noVBand="1"/>
        </w:tblPrEx>
        <w:trPr>
          <w:trHeight w:val="284"/>
        </w:trPr>
        <w:tc>
          <w:tcPr>
            <w:tcW w:w="6096" w:type="dxa"/>
            <w:tcBorders>
              <w:top w:val="nil"/>
            </w:tcBorders>
            <w:shd w:val="clear" w:color="auto" w:fill="auto"/>
            <w:vAlign w:val="center"/>
          </w:tcPr>
          <w:p w14:paraId="1FC81617" w14:textId="5D5A0EAE"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 xml:space="preserve">Height-for-age </w:t>
            </w:r>
            <w:r>
              <w:rPr>
                <w:rFonts w:cs="Arial"/>
                <w:color w:val="000000"/>
                <w:szCs w:val="20"/>
              </w:rPr>
              <w:t>(</w:t>
            </w:r>
            <w:r w:rsidRPr="009E45C9">
              <w:rPr>
                <w:rFonts w:cs="Arial"/>
                <w:color w:val="000000"/>
                <w:szCs w:val="20"/>
              </w:rPr>
              <w:t>children 6-23 months</w:t>
            </w:r>
            <w:r>
              <w:rPr>
                <w:rFonts w:cs="Arial"/>
                <w:color w:val="000000"/>
                <w:szCs w:val="20"/>
              </w:rPr>
              <w:t>)</w:t>
            </w:r>
          </w:p>
        </w:tc>
        <w:tc>
          <w:tcPr>
            <w:tcW w:w="1590" w:type="dxa"/>
            <w:tcBorders>
              <w:top w:val="nil"/>
            </w:tcBorders>
            <w:vAlign w:val="center"/>
          </w:tcPr>
          <w:p w14:paraId="5A0435F6" w14:textId="62F21CC0"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Continuous</w:t>
            </w:r>
          </w:p>
        </w:tc>
        <w:tc>
          <w:tcPr>
            <w:tcW w:w="1856" w:type="dxa"/>
            <w:tcBorders>
              <w:top w:val="nil"/>
            </w:tcBorders>
            <w:shd w:val="clear" w:color="auto" w:fill="auto"/>
            <w:vAlign w:val="center"/>
          </w:tcPr>
          <w:p w14:paraId="6E9714C0" w14:textId="7D45CF08"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Midline</w:t>
            </w:r>
          </w:p>
        </w:tc>
      </w:tr>
      <w:tr w:rsidR="00295B7A" w:rsidRPr="009E45C9" w14:paraId="09F04D5F" w14:textId="77777777" w:rsidTr="0054706F">
        <w:tblPrEx>
          <w:tblLook w:val="0400" w:firstRow="0" w:lastRow="0" w:firstColumn="0" w:lastColumn="0" w:noHBand="0" w:noVBand="1"/>
        </w:tblPrEx>
        <w:trPr>
          <w:trHeight w:val="284"/>
        </w:trPr>
        <w:tc>
          <w:tcPr>
            <w:tcW w:w="6096" w:type="dxa"/>
            <w:shd w:val="clear" w:color="auto" w:fill="auto"/>
            <w:vAlign w:val="center"/>
          </w:tcPr>
          <w:p w14:paraId="76F327E7" w14:textId="3BEFF6F9" w:rsidR="00295B7A" w:rsidRPr="00161C49" w:rsidRDefault="00295B7A" w:rsidP="00A11C14">
            <w:pPr>
              <w:spacing w:before="0" w:after="0" w:line="240" w:lineRule="auto"/>
              <w:jc w:val="left"/>
              <w:rPr>
                <w:rFonts w:cs="Arial"/>
                <w:color w:val="000000"/>
                <w:szCs w:val="20"/>
              </w:rPr>
            </w:pPr>
            <w:r w:rsidRPr="00161C49">
              <w:rPr>
                <w:rFonts w:cs="Arial"/>
                <w:color w:val="000000"/>
                <w:szCs w:val="20"/>
              </w:rPr>
              <w:t>Weight-for-height Z-score (</w:t>
            </w:r>
            <w:r w:rsidRPr="00735434">
              <w:rPr>
                <w:rFonts w:cs="Arial"/>
                <w:color w:val="000000"/>
                <w:szCs w:val="20"/>
              </w:rPr>
              <w:t>children 6-23 months</w:t>
            </w:r>
            <w:r w:rsidRPr="00161C49">
              <w:rPr>
                <w:rFonts w:cs="Arial"/>
                <w:color w:val="000000"/>
                <w:szCs w:val="20"/>
              </w:rPr>
              <w:t>)</w:t>
            </w:r>
          </w:p>
        </w:tc>
        <w:tc>
          <w:tcPr>
            <w:tcW w:w="1590" w:type="dxa"/>
            <w:vAlign w:val="center"/>
          </w:tcPr>
          <w:p w14:paraId="694EB9C2" w14:textId="2F012F63" w:rsidR="00295B7A" w:rsidRPr="00161C49" w:rsidRDefault="00295B7A" w:rsidP="00A11C14">
            <w:pPr>
              <w:spacing w:before="0" w:after="0" w:line="240" w:lineRule="auto"/>
              <w:jc w:val="left"/>
              <w:rPr>
                <w:rFonts w:cs="Arial"/>
                <w:color w:val="000000"/>
                <w:szCs w:val="20"/>
              </w:rPr>
            </w:pPr>
            <w:r w:rsidRPr="00161C49">
              <w:rPr>
                <w:rFonts w:cs="Arial"/>
                <w:color w:val="000000"/>
                <w:szCs w:val="20"/>
              </w:rPr>
              <w:t>Continuous</w:t>
            </w:r>
          </w:p>
        </w:tc>
        <w:tc>
          <w:tcPr>
            <w:tcW w:w="1856" w:type="dxa"/>
            <w:shd w:val="clear" w:color="auto" w:fill="auto"/>
            <w:vAlign w:val="center"/>
          </w:tcPr>
          <w:p w14:paraId="0C393699" w14:textId="5B83C400" w:rsidR="00295B7A" w:rsidRPr="00161C49" w:rsidRDefault="00295B7A" w:rsidP="00A11C14">
            <w:pPr>
              <w:spacing w:before="0" w:after="0" w:line="240" w:lineRule="auto"/>
              <w:jc w:val="left"/>
              <w:rPr>
                <w:rFonts w:cs="Arial"/>
                <w:color w:val="000000"/>
                <w:szCs w:val="20"/>
              </w:rPr>
            </w:pPr>
            <w:r w:rsidRPr="00161C49">
              <w:rPr>
                <w:rFonts w:cs="Arial"/>
                <w:color w:val="000000"/>
                <w:szCs w:val="20"/>
              </w:rPr>
              <w:t>Midline</w:t>
            </w:r>
          </w:p>
        </w:tc>
      </w:tr>
      <w:tr w:rsidR="00295B7A" w:rsidRPr="009E45C9" w14:paraId="091DF2F8" w14:textId="77777777" w:rsidTr="0054706F">
        <w:tblPrEx>
          <w:tblLook w:val="0400" w:firstRow="0" w:lastRow="0" w:firstColumn="0" w:lastColumn="0" w:noHBand="0" w:noVBand="1"/>
        </w:tblPrEx>
        <w:trPr>
          <w:trHeight w:val="284"/>
        </w:trPr>
        <w:tc>
          <w:tcPr>
            <w:tcW w:w="6096" w:type="dxa"/>
            <w:shd w:val="clear" w:color="auto" w:fill="auto"/>
            <w:vAlign w:val="center"/>
          </w:tcPr>
          <w:p w14:paraId="5514B0C8" w14:textId="10002A5C" w:rsidR="00295B7A" w:rsidRPr="00161C49" w:rsidRDefault="00CC796F" w:rsidP="00A11C14">
            <w:pPr>
              <w:spacing w:before="0" w:after="0" w:line="240" w:lineRule="auto"/>
              <w:jc w:val="left"/>
              <w:rPr>
                <w:rFonts w:cs="Arial"/>
                <w:color w:val="000000"/>
                <w:szCs w:val="20"/>
              </w:rPr>
            </w:pPr>
            <w:r w:rsidRPr="00161C49">
              <w:rPr>
                <w:rFonts w:cs="Arial"/>
                <w:color w:val="000000"/>
                <w:szCs w:val="20"/>
              </w:rPr>
              <w:t xml:space="preserve">Weight-for-height Z-score </w:t>
            </w:r>
            <w:r w:rsidR="00295B7A" w:rsidRPr="00161C49">
              <w:rPr>
                <w:rFonts w:cs="Arial"/>
                <w:color w:val="000000"/>
                <w:szCs w:val="20"/>
              </w:rPr>
              <w:t>(</w:t>
            </w:r>
            <w:r w:rsidR="00295B7A" w:rsidRPr="00735434">
              <w:rPr>
                <w:rFonts w:cs="Arial"/>
                <w:color w:val="000000"/>
                <w:szCs w:val="20"/>
              </w:rPr>
              <w:t>children 30-48 months</w:t>
            </w:r>
            <w:r w:rsidR="00295B7A" w:rsidRPr="00161C49">
              <w:rPr>
                <w:rFonts w:cs="Arial"/>
                <w:color w:val="000000"/>
                <w:szCs w:val="20"/>
              </w:rPr>
              <w:t xml:space="preserve">)  </w:t>
            </w:r>
          </w:p>
        </w:tc>
        <w:tc>
          <w:tcPr>
            <w:tcW w:w="1590" w:type="dxa"/>
            <w:vAlign w:val="center"/>
          </w:tcPr>
          <w:p w14:paraId="15CEC44C" w14:textId="7165C0FE" w:rsidR="00295B7A" w:rsidRPr="00161C49" w:rsidRDefault="00CC796F" w:rsidP="00A11C14">
            <w:pPr>
              <w:spacing w:before="0" w:after="0" w:line="240" w:lineRule="auto"/>
              <w:jc w:val="left"/>
              <w:rPr>
                <w:rFonts w:cs="Arial"/>
                <w:color w:val="000000"/>
                <w:szCs w:val="20"/>
              </w:rPr>
            </w:pPr>
            <w:r w:rsidRPr="00161C49">
              <w:rPr>
                <w:rFonts w:cs="Arial"/>
                <w:color w:val="000000"/>
                <w:szCs w:val="20"/>
              </w:rPr>
              <w:t>Continuous</w:t>
            </w:r>
          </w:p>
        </w:tc>
        <w:tc>
          <w:tcPr>
            <w:tcW w:w="1856" w:type="dxa"/>
            <w:shd w:val="clear" w:color="auto" w:fill="auto"/>
            <w:vAlign w:val="center"/>
          </w:tcPr>
          <w:p w14:paraId="384D50B5" w14:textId="4B4BC833" w:rsidR="00295B7A" w:rsidRPr="00161C49" w:rsidRDefault="00295B7A" w:rsidP="00A11C14">
            <w:pPr>
              <w:spacing w:before="0" w:after="0" w:line="240" w:lineRule="auto"/>
              <w:jc w:val="left"/>
              <w:rPr>
                <w:rFonts w:cs="Arial"/>
                <w:color w:val="000000"/>
                <w:szCs w:val="20"/>
              </w:rPr>
            </w:pPr>
            <w:r w:rsidRPr="00161C49">
              <w:rPr>
                <w:rFonts w:cs="Arial"/>
                <w:color w:val="000000"/>
                <w:szCs w:val="20"/>
              </w:rPr>
              <w:t>Endline</w:t>
            </w:r>
          </w:p>
        </w:tc>
      </w:tr>
      <w:tr w:rsidR="00295B7A" w:rsidRPr="009E45C9" w14:paraId="2A37826C" w14:textId="77777777" w:rsidTr="0054706F">
        <w:tblPrEx>
          <w:tblLook w:val="0400" w:firstRow="0" w:lastRow="0" w:firstColumn="0" w:lastColumn="0" w:noHBand="0" w:noVBand="1"/>
        </w:tblPrEx>
        <w:trPr>
          <w:trHeight w:val="284"/>
        </w:trPr>
        <w:tc>
          <w:tcPr>
            <w:tcW w:w="6096" w:type="dxa"/>
            <w:tcBorders>
              <w:bottom w:val="nil"/>
            </w:tcBorders>
            <w:shd w:val="clear" w:color="auto" w:fill="auto"/>
            <w:vAlign w:val="center"/>
          </w:tcPr>
          <w:p w14:paraId="62D4FB6B" w14:textId="359F51FF"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Percent of children 6–23 months receiving a minimum acceptable diet</w:t>
            </w:r>
            <w:r w:rsidR="00CC796F">
              <w:rPr>
                <w:rFonts w:cs="Arial"/>
                <w:color w:val="000000"/>
                <w:szCs w:val="20"/>
              </w:rPr>
              <w:t xml:space="preserve"> (MAD)</w:t>
            </w:r>
          </w:p>
        </w:tc>
        <w:tc>
          <w:tcPr>
            <w:tcW w:w="1590" w:type="dxa"/>
            <w:tcBorders>
              <w:bottom w:val="nil"/>
            </w:tcBorders>
            <w:vAlign w:val="center"/>
          </w:tcPr>
          <w:p w14:paraId="1FBE23C5" w14:textId="47E38A87"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Binary</w:t>
            </w:r>
          </w:p>
        </w:tc>
        <w:tc>
          <w:tcPr>
            <w:tcW w:w="1856" w:type="dxa"/>
            <w:tcBorders>
              <w:bottom w:val="nil"/>
            </w:tcBorders>
            <w:shd w:val="clear" w:color="auto" w:fill="auto"/>
            <w:vAlign w:val="center"/>
          </w:tcPr>
          <w:p w14:paraId="5C6F059F" w14:textId="7F46300F"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Midline</w:t>
            </w:r>
          </w:p>
        </w:tc>
      </w:tr>
      <w:tr w:rsidR="00295B7A" w:rsidRPr="009E45C9" w14:paraId="02470F3E" w14:textId="77777777" w:rsidTr="0054706F">
        <w:tblPrEx>
          <w:tblLook w:val="0400" w:firstRow="0" w:lastRow="0" w:firstColumn="0" w:lastColumn="0" w:noHBand="0" w:noVBand="1"/>
        </w:tblPrEx>
        <w:trPr>
          <w:trHeight w:val="284"/>
        </w:trPr>
        <w:tc>
          <w:tcPr>
            <w:tcW w:w="6096" w:type="dxa"/>
            <w:tcBorders>
              <w:top w:val="nil"/>
              <w:bottom w:val="nil"/>
            </w:tcBorders>
            <w:shd w:val="clear" w:color="auto" w:fill="auto"/>
            <w:vAlign w:val="center"/>
          </w:tcPr>
          <w:p w14:paraId="4A2011E8" w14:textId="2FB580F9"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Early childhood development score</w:t>
            </w:r>
          </w:p>
        </w:tc>
        <w:tc>
          <w:tcPr>
            <w:tcW w:w="1590" w:type="dxa"/>
            <w:tcBorders>
              <w:top w:val="nil"/>
              <w:bottom w:val="nil"/>
            </w:tcBorders>
            <w:vAlign w:val="center"/>
          </w:tcPr>
          <w:p w14:paraId="4B5BDA2E" w14:textId="61219098"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Continuous</w:t>
            </w:r>
          </w:p>
        </w:tc>
        <w:tc>
          <w:tcPr>
            <w:tcW w:w="1856" w:type="dxa"/>
            <w:tcBorders>
              <w:top w:val="nil"/>
              <w:bottom w:val="nil"/>
            </w:tcBorders>
            <w:shd w:val="clear" w:color="auto" w:fill="auto"/>
            <w:vAlign w:val="center"/>
          </w:tcPr>
          <w:p w14:paraId="1DCDFBF1" w14:textId="5FB503A3" w:rsidR="00295B7A" w:rsidRPr="009E45C9" w:rsidRDefault="00295B7A" w:rsidP="00A11C14">
            <w:pPr>
              <w:spacing w:before="0" w:after="0" w:line="240" w:lineRule="auto"/>
              <w:jc w:val="left"/>
              <w:rPr>
                <w:rFonts w:cs="Arial"/>
                <w:color w:val="000000"/>
                <w:szCs w:val="20"/>
              </w:rPr>
            </w:pPr>
            <w:r w:rsidRPr="009E45C9">
              <w:rPr>
                <w:rFonts w:cs="Arial"/>
                <w:color w:val="000000"/>
                <w:szCs w:val="20"/>
              </w:rPr>
              <w:t>Endline</w:t>
            </w:r>
          </w:p>
        </w:tc>
      </w:tr>
      <w:tr w:rsidR="00004E9C" w:rsidRPr="009E45C9" w14:paraId="71701C60" w14:textId="77777777" w:rsidTr="0054706F">
        <w:tblPrEx>
          <w:tblLook w:val="0400" w:firstRow="0" w:lastRow="0" w:firstColumn="0" w:lastColumn="0" w:noHBand="0" w:noVBand="1"/>
        </w:tblPrEx>
        <w:trPr>
          <w:trHeight w:val="284"/>
        </w:trPr>
        <w:tc>
          <w:tcPr>
            <w:tcW w:w="6096" w:type="dxa"/>
            <w:tcBorders>
              <w:top w:val="nil"/>
            </w:tcBorders>
            <w:shd w:val="clear" w:color="auto" w:fill="auto"/>
            <w:vAlign w:val="center"/>
          </w:tcPr>
          <w:p w14:paraId="6D8C30A4" w14:textId="77777777" w:rsidR="00004E9C" w:rsidRPr="00AF3AC2" w:rsidRDefault="00004E9C" w:rsidP="00A11C14">
            <w:pPr>
              <w:spacing w:before="0" w:after="0" w:line="240" w:lineRule="auto"/>
              <w:jc w:val="left"/>
              <w:rPr>
                <w:i/>
                <w:iCs/>
                <w:color w:val="000000"/>
                <w:szCs w:val="20"/>
              </w:rPr>
            </w:pPr>
          </w:p>
        </w:tc>
        <w:tc>
          <w:tcPr>
            <w:tcW w:w="1590" w:type="dxa"/>
            <w:tcBorders>
              <w:top w:val="nil"/>
            </w:tcBorders>
            <w:vAlign w:val="center"/>
          </w:tcPr>
          <w:p w14:paraId="3632FD1D" w14:textId="77777777" w:rsidR="00004E9C" w:rsidRDefault="00004E9C" w:rsidP="00A11C14">
            <w:pPr>
              <w:spacing w:before="0" w:after="0" w:line="240" w:lineRule="auto"/>
              <w:jc w:val="left"/>
              <w:rPr>
                <w:rFonts w:cs="Arial"/>
                <w:color w:val="000000"/>
                <w:szCs w:val="20"/>
              </w:rPr>
            </w:pPr>
          </w:p>
        </w:tc>
        <w:tc>
          <w:tcPr>
            <w:tcW w:w="1856" w:type="dxa"/>
            <w:tcBorders>
              <w:top w:val="nil"/>
            </w:tcBorders>
            <w:shd w:val="clear" w:color="auto" w:fill="auto"/>
            <w:vAlign w:val="center"/>
          </w:tcPr>
          <w:p w14:paraId="5D250CFD" w14:textId="77777777" w:rsidR="00004E9C" w:rsidRPr="009E45C9" w:rsidRDefault="00004E9C" w:rsidP="00A11C14">
            <w:pPr>
              <w:spacing w:before="0" w:after="0" w:line="240" w:lineRule="auto"/>
              <w:jc w:val="left"/>
              <w:rPr>
                <w:rFonts w:cs="Arial"/>
                <w:color w:val="000000"/>
                <w:szCs w:val="20"/>
              </w:rPr>
            </w:pPr>
          </w:p>
        </w:tc>
      </w:tr>
      <w:tr w:rsidR="00DE5B64" w:rsidRPr="009E45C9" w14:paraId="15A54DB3" w14:textId="77777777" w:rsidTr="0054706F">
        <w:tblPrEx>
          <w:tblLook w:val="0400" w:firstRow="0" w:lastRow="0" w:firstColumn="0" w:lastColumn="0" w:noHBand="0" w:noVBand="1"/>
        </w:tblPrEx>
        <w:trPr>
          <w:trHeight w:val="284"/>
        </w:trPr>
        <w:tc>
          <w:tcPr>
            <w:tcW w:w="6096" w:type="dxa"/>
            <w:tcBorders>
              <w:top w:val="nil"/>
            </w:tcBorders>
            <w:shd w:val="clear" w:color="auto" w:fill="auto"/>
            <w:vAlign w:val="center"/>
          </w:tcPr>
          <w:p w14:paraId="2455C995" w14:textId="75A7E89A" w:rsidR="00DE5B64" w:rsidRPr="00AF3AC2" w:rsidRDefault="00DE5B64" w:rsidP="00A11C14">
            <w:pPr>
              <w:spacing w:before="0" w:after="0" w:line="240" w:lineRule="auto"/>
              <w:jc w:val="left"/>
              <w:rPr>
                <w:i/>
                <w:iCs/>
                <w:color w:val="000000"/>
                <w:szCs w:val="20"/>
              </w:rPr>
            </w:pPr>
            <w:r w:rsidRPr="00AF3AC2">
              <w:rPr>
                <w:i/>
                <w:iCs/>
                <w:color w:val="000000"/>
                <w:szCs w:val="20"/>
              </w:rPr>
              <w:t xml:space="preserve">Livelihoods </w:t>
            </w:r>
          </w:p>
        </w:tc>
        <w:tc>
          <w:tcPr>
            <w:tcW w:w="1590" w:type="dxa"/>
            <w:tcBorders>
              <w:top w:val="nil"/>
            </w:tcBorders>
            <w:vAlign w:val="center"/>
          </w:tcPr>
          <w:p w14:paraId="0A23294E" w14:textId="77777777" w:rsidR="00DE5B64" w:rsidRDefault="00DE5B64" w:rsidP="00A11C14">
            <w:pPr>
              <w:spacing w:before="0" w:after="0" w:line="240" w:lineRule="auto"/>
              <w:jc w:val="left"/>
              <w:rPr>
                <w:rFonts w:cs="Arial"/>
                <w:color w:val="000000"/>
                <w:szCs w:val="20"/>
              </w:rPr>
            </w:pPr>
          </w:p>
        </w:tc>
        <w:tc>
          <w:tcPr>
            <w:tcW w:w="1856" w:type="dxa"/>
            <w:tcBorders>
              <w:top w:val="nil"/>
            </w:tcBorders>
            <w:shd w:val="clear" w:color="auto" w:fill="auto"/>
            <w:vAlign w:val="center"/>
          </w:tcPr>
          <w:p w14:paraId="01F45674" w14:textId="77777777" w:rsidR="00DE5B64" w:rsidRPr="009E45C9" w:rsidRDefault="00DE5B64" w:rsidP="00A11C14">
            <w:pPr>
              <w:spacing w:before="0" w:after="0" w:line="240" w:lineRule="auto"/>
              <w:jc w:val="left"/>
              <w:rPr>
                <w:rFonts w:cs="Arial"/>
                <w:color w:val="000000"/>
                <w:szCs w:val="20"/>
              </w:rPr>
            </w:pPr>
          </w:p>
        </w:tc>
      </w:tr>
      <w:tr w:rsidR="00004E9C" w:rsidRPr="009E45C9" w14:paraId="695C9721" w14:textId="77777777" w:rsidTr="0054706F">
        <w:tblPrEx>
          <w:tblLook w:val="0400" w:firstRow="0" w:lastRow="0" w:firstColumn="0" w:lastColumn="0" w:noHBand="0" w:noVBand="1"/>
        </w:tblPrEx>
        <w:trPr>
          <w:trHeight w:val="284"/>
        </w:trPr>
        <w:tc>
          <w:tcPr>
            <w:tcW w:w="6096" w:type="dxa"/>
            <w:tcBorders>
              <w:top w:val="nil"/>
            </w:tcBorders>
            <w:shd w:val="clear" w:color="auto" w:fill="auto"/>
            <w:vAlign w:val="center"/>
          </w:tcPr>
          <w:p w14:paraId="37A2F33C" w14:textId="0F328CE9" w:rsidR="00004E9C" w:rsidRDefault="00004E9C" w:rsidP="00004E9C">
            <w:pPr>
              <w:spacing w:before="0" w:after="0" w:line="240" w:lineRule="auto"/>
              <w:jc w:val="left"/>
              <w:rPr>
                <w:rFonts w:cs="Arial"/>
                <w:color w:val="000000"/>
                <w:szCs w:val="20"/>
              </w:rPr>
            </w:pPr>
            <w:r>
              <w:rPr>
                <w:rFonts w:cs="Arial"/>
                <w:color w:val="000000"/>
                <w:szCs w:val="20"/>
              </w:rPr>
              <w:t>Household per capita consumption</w:t>
            </w:r>
          </w:p>
        </w:tc>
        <w:tc>
          <w:tcPr>
            <w:tcW w:w="1590" w:type="dxa"/>
            <w:tcBorders>
              <w:top w:val="nil"/>
            </w:tcBorders>
            <w:vAlign w:val="center"/>
          </w:tcPr>
          <w:p w14:paraId="015A12CD" w14:textId="2154763A" w:rsidR="00004E9C" w:rsidRDefault="00004E9C" w:rsidP="00004E9C">
            <w:pPr>
              <w:spacing w:before="0" w:after="0" w:line="240" w:lineRule="auto"/>
              <w:jc w:val="left"/>
              <w:rPr>
                <w:rFonts w:cs="Arial"/>
                <w:color w:val="000000"/>
                <w:szCs w:val="20"/>
              </w:rPr>
            </w:pPr>
            <w:r>
              <w:rPr>
                <w:rFonts w:cs="Arial"/>
                <w:color w:val="000000"/>
                <w:szCs w:val="20"/>
              </w:rPr>
              <w:t>Continuous</w:t>
            </w:r>
          </w:p>
        </w:tc>
        <w:tc>
          <w:tcPr>
            <w:tcW w:w="1856" w:type="dxa"/>
            <w:tcBorders>
              <w:top w:val="nil"/>
            </w:tcBorders>
            <w:shd w:val="clear" w:color="auto" w:fill="auto"/>
            <w:vAlign w:val="center"/>
          </w:tcPr>
          <w:p w14:paraId="778FF951" w14:textId="40484FA9" w:rsidR="00004E9C" w:rsidRDefault="00004E9C" w:rsidP="00004E9C">
            <w:pPr>
              <w:spacing w:before="0" w:after="0" w:line="240" w:lineRule="auto"/>
              <w:jc w:val="left"/>
              <w:rPr>
                <w:rFonts w:cs="Arial"/>
                <w:color w:val="000000"/>
                <w:szCs w:val="20"/>
              </w:rPr>
            </w:pPr>
            <w:r>
              <w:rPr>
                <w:rFonts w:cs="Arial"/>
                <w:color w:val="000000"/>
                <w:szCs w:val="20"/>
              </w:rPr>
              <w:t>Midline, endline</w:t>
            </w:r>
          </w:p>
        </w:tc>
      </w:tr>
      <w:tr w:rsidR="00004E9C" w:rsidRPr="009E45C9" w14:paraId="0D498CA9" w14:textId="77777777" w:rsidTr="0054706F">
        <w:tblPrEx>
          <w:tblLook w:val="0400" w:firstRow="0" w:lastRow="0" w:firstColumn="0" w:lastColumn="0" w:noHBand="0" w:noVBand="1"/>
        </w:tblPrEx>
        <w:trPr>
          <w:trHeight w:val="284"/>
        </w:trPr>
        <w:tc>
          <w:tcPr>
            <w:tcW w:w="6096" w:type="dxa"/>
            <w:tcBorders>
              <w:top w:val="nil"/>
            </w:tcBorders>
            <w:shd w:val="clear" w:color="auto" w:fill="auto"/>
            <w:vAlign w:val="center"/>
          </w:tcPr>
          <w:p w14:paraId="3480C031" w14:textId="3F9C99FC" w:rsidR="00004E9C" w:rsidRPr="00C23EFA" w:rsidRDefault="00004E9C" w:rsidP="00004E9C">
            <w:pPr>
              <w:spacing w:before="0" w:after="0" w:line="240" w:lineRule="auto"/>
              <w:jc w:val="left"/>
              <w:rPr>
                <w:color w:val="000000"/>
                <w:szCs w:val="20"/>
              </w:rPr>
            </w:pPr>
            <w:r>
              <w:rPr>
                <w:rFonts w:cs="Arial"/>
                <w:color w:val="000000"/>
                <w:szCs w:val="20"/>
              </w:rPr>
              <w:t>Total asset index</w:t>
            </w:r>
          </w:p>
        </w:tc>
        <w:tc>
          <w:tcPr>
            <w:tcW w:w="1590" w:type="dxa"/>
            <w:tcBorders>
              <w:top w:val="nil"/>
            </w:tcBorders>
            <w:vAlign w:val="center"/>
          </w:tcPr>
          <w:p w14:paraId="4A59F71C" w14:textId="75CC299E" w:rsidR="00004E9C" w:rsidRDefault="00004E9C" w:rsidP="00004E9C">
            <w:pPr>
              <w:spacing w:before="0" w:after="0" w:line="240" w:lineRule="auto"/>
              <w:jc w:val="left"/>
              <w:rPr>
                <w:rFonts w:cs="Arial"/>
                <w:color w:val="000000"/>
                <w:szCs w:val="20"/>
              </w:rPr>
            </w:pPr>
            <w:r>
              <w:rPr>
                <w:rFonts w:cs="Arial"/>
                <w:color w:val="000000"/>
                <w:szCs w:val="20"/>
              </w:rPr>
              <w:t>Continuous</w:t>
            </w:r>
          </w:p>
        </w:tc>
        <w:tc>
          <w:tcPr>
            <w:tcW w:w="1856" w:type="dxa"/>
            <w:tcBorders>
              <w:top w:val="nil"/>
            </w:tcBorders>
            <w:shd w:val="clear" w:color="auto" w:fill="auto"/>
            <w:vAlign w:val="center"/>
          </w:tcPr>
          <w:p w14:paraId="7869C8CE" w14:textId="346580C5" w:rsidR="00004E9C" w:rsidRPr="009E45C9" w:rsidRDefault="00004E9C" w:rsidP="00004E9C">
            <w:pPr>
              <w:spacing w:before="0" w:after="0" w:line="240" w:lineRule="auto"/>
              <w:jc w:val="left"/>
              <w:rPr>
                <w:rFonts w:cs="Arial"/>
                <w:color w:val="000000"/>
                <w:szCs w:val="20"/>
              </w:rPr>
            </w:pPr>
            <w:r>
              <w:rPr>
                <w:rFonts w:cs="Arial"/>
                <w:color w:val="000000"/>
                <w:szCs w:val="20"/>
              </w:rPr>
              <w:t>Endline</w:t>
            </w:r>
          </w:p>
        </w:tc>
      </w:tr>
      <w:tr w:rsidR="00004E9C" w:rsidRPr="009E45C9" w14:paraId="753D5218" w14:textId="77777777" w:rsidTr="0054706F">
        <w:tblPrEx>
          <w:tblLook w:val="0400" w:firstRow="0" w:lastRow="0" w:firstColumn="0" w:lastColumn="0" w:noHBand="0" w:noVBand="1"/>
        </w:tblPrEx>
        <w:trPr>
          <w:trHeight w:val="284"/>
        </w:trPr>
        <w:tc>
          <w:tcPr>
            <w:tcW w:w="6096" w:type="dxa"/>
            <w:tcBorders>
              <w:top w:val="nil"/>
            </w:tcBorders>
            <w:shd w:val="clear" w:color="auto" w:fill="auto"/>
            <w:vAlign w:val="center"/>
          </w:tcPr>
          <w:p w14:paraId="74EF92A0" w14:textId="3509CE79" w:rsidR="00004E9C" w:rsidRPr="00C23EFA" w:rsidRDefault="00004E9C" w:rsidP="00004E9C">
            <w:pPr>
              <w:spacing w:before="0" w:after="0" w:line="240" w:lineRule="auto"/>
              <w:jc w:val="left"/>
              <w:rPr>
                <w:color w:val="000000"/>
                <w:szCs w:val="20"/>
              </w:rPr>
            </w:pPr>
            <w:r>
              <w:rPr>
                <w:rFonts w:cs="Arial"/>
                <w:color w:val="000000"/>
                <w:szCs w:val="20"/>
              </w:rPr>
              <w:t>Household savings</w:t>
            </w:r>
          </w:p>
        </w:tc>
        <w:tc>
          <w:tcPr>
            <w:tcW w:w="1590" w:type="dxa"/>
            <w:tcBorders>
              <w:top w:val="nil"/>
            </w:tcBorders>
            <w:vAlign w:val="center"/>
          </w:tcPr>
          <w:p w14:paraId="25D8F44B" w14:textId="5442C7AE" w:rsidR="00004E9C" w:rsidRDefault="00004E9C" w:rsidP="00004E9C">
            <w:pPr>
              <w:spacing w:before="0" w:after="0" w:line="240" w:lineRule="auto"/>
              <w:jc w:val="left"/>
              <w:rPr>
                <w:rFonts w:cs="Arial"/>
                <w:color w:val="000000"/>
                <w:szCs w:val="20"/>
              </w:rPr>
            </w:pPr>
            <w:r>
              <w:rPr>
                <w:rFonts w:cs="Arial"/>
                <w:color w:val="000000"/>
                <w:szCs w:val="20"/>
              </w:rPr>
              <w:t>Binary and continuous</w:t>
            </w:r>
          </w:p>
        </w:tc>
        <w:tc>
          <w:tcPr>
            <w:tcW w:w="1856" w:type="dxa"/>
            <w:tcBorders>
              <w:top w:val="nil"/>
            </w:tcBorders>
            <w:shd w:val="clear" w:color="auto" w:fill="auto"/>
            <w:vAlign w:val="center"/>
          </w:tcPr>
          <w:p w14:paraId="0F20B7F1" w14:textId="20F3423E" w:rsidR="00004E9C" w:rsidRPr="009E45C9" w:rsidRDefault="00004E9C" w:rsidP="00004E9C">
            <w:pPr>
              <w:spacing w:before="0" w:after="0" w:line="240" w:lineRule="auto"/>
              <w:jc w:val="left"/>
              <w:rPr>
                <w:rFonts w:cs="Arial"/>
                <w:color w:val="000000"/>
                <w:szCs w:val="20"/>
              </w:rPr>
            </w:pPr>
            <w:r>
              <w:rPr>
                <w:rFonts w:cs="Arial"/>
                <w:color w:val="000000"/>
                <w:szCs w:val="20"/>
              </w:rPr>
              <w:t>Endline</w:t>
            </w:r>
          </w:p>
        </w:tc>
      </w:tr>
      <w:tr w:rsidR="00004E9C" w:rsidRPr="009E45C9" w14:paraId="6A8E6E35" w14:textId="77777777" w:rsidTr="0054706F">
        <w:tblPrEx>
          <w:tblLook w:val="0400" w:firstRow="0" w:lastRow="0" w:firstColumn="0" w:lastColumn="0" w:noHBand="0" w:noVBand="1"/>
        </w:tblPrEx>
        <w:trPr>
          <w:trHeight w:val="284"/>
        </w:trPr>
        <w:tc>
          <w:tcPr>
            <w:tcW w:w="6096" w:type="dxa"/>
            <w:tcBorders>
              <w:top w:val="nil"/>
            </w:tcBorders>
            <w:shd w:val="clear" w:color="auto" w:fill="auto"/>
            <w:vAlign w:val="center"/>
          </w:tcPr>
          <w:p w14:paraId="6E544ED4" w14:textId="115CF5E3" w:rsidR="00004E9C" w:rsidRPr="009E45C9" w:rsidRDefault="00004E9C" w:rsidP="00004E9C">
            <w:pPr>
              <w:spacing w:before="0" w:after="0" w:line="240" w:lineRule="auto"/>
              <w:jc w:val="left"/>
              <w:rPr>
                <w:rFonts w:cs="Arial"/>
                <w:color w:val="000000"/>
                <w:szCs w:val="20"/>
              </w:rPr>
            </w:pPr>
            <w:r w:rsidRPr="00C23EFA">
              <w:rPr>
                <w:color w:val="000000"/>
                <w:szCs w:val="20"/>
              </w:rPr>
              <w:t xml:space="preserve">Food security </w:t>
            </w:r>
            <w:r>
              <w:rPr>
                <w:color w:val="000000"/>
                <w:szCs w:val="20"/>
              </w:rPr>
              <w:t>(FIES)</w:t>
            </w:r>
          </w:p>
        </w:tc>
        <w:tc>
          <w:tcPr>
            <w:tcW w:w="1590" w:type="dxa"/>
            <w:tcBorders>
              <w:top w:val="nil"/>
            </w:tcBorders>
            <w:vAlign w:val="center"/>
          </w:tcPr>
          <w:p w14:paraId="33611407" w14:textId="563CDA37" w:rsidR="00004E9C" w:rsidRPr="009E45C9" w:rsidRDefault="00004E9C" w:rsidP="00004E9C">
            <w:pPr>
              <w:spacing w:before="0" w:after="0" w:line="240" w:lineRule="auto"/>
              <w:jc w:val="left"/>
              <w:rPr>
                <w:rFonts w:cs="Arial"/>
                <w:color w:val="000000"/>
                <w:szCs w:val="20"/>
              </w:rPr>
            </w:pPr>
            <w:r>
              <w:rPr>
                <w:rFonts w:cs="Arial"/>
                <w:color w:val="000000"/>
                <w:szCs w:val="20"/>
              </w:rPr>
              <w:t>Binary and continuous</w:t>
            </w:r>
          </w:p>
        </w:tc>
        <w:tc>
          <w:tcPr>
            <w:tcW w:w="1856" w:type="dxa"/>
            <w:tcBorders>
              <w:top w:val="nil"/>
            </w:tcBorders>
            <w:shd w:val="clear" w:color="auto" w:fill="auto"/>
            <w:vAlign w:val="center"/>
          </w:tcPr>
          <w:p w14:paraId="2E4A1182" w14:textId="1C4D33B3" w:rsidR="00004E9C" w:rsidRPr="009E45C9" w:rsidRDefault="00004E9C" w:rsidP="00004E9C">
            <w:pPr>
              <w:spacing w:before="0" w:after="0" w:line="240" w:lineRule="auto"/>
              <w:jc w:val="left"/>
              <w:rPr>
                <w:rFonts w:cs="Arial"/>
                <w:color w:val="000000"/>
                <w:szCs w:val="20"/>
              </w:rPr>
            </w:pPr>
            <w:r w:rsidRPr="009E45C9">
              <w:rPr>
                <w:rFonts w:cs="Arial"/>
                <w:color w:val="000000"/>
                <w:szCs w:val="20"/>
              </w:rPr>
              <w:t>Midline</w:t>
            </w:r>
            <w:r>
              <w:rPr>
                <w:rFonts w:cs="Arial"/>
                <w:color w:val="000000"/>
                <w:szCs w:val="20"/>
              </w:rPr>
              <w:t>, Endline</w:t>
            </w:r>
          </w:p>
        </w:tc>
      </w:tr>
      <w:tr w:rsidR="00004E9C" w:rsidRPr="009E45C9" w14:paraId="0E55D4E7" w14:textId="77777777" w:rsidTr="0054706F">
        <w:tblPrEx>
          <w:tblLook w:val="0400" w:firstRow="0" w:lastRow="0" w:firstColumn="0" w:lastColumn="0" w:noHBand="0" w:noVBand="1"/>
        </w:tblPrEx>
        <w:trPr>
          <w:trHeight w:val="284"/>
        </w:trPr>
        <w:tc>
          <w:tcPr>
            <w:tcW w:w="6096" w:type="dxa"/>
            <w:shd w:val="clear" w:color="auto" w:fill="auto"/>
            <w:vAlign w:val="center"/>
          </w:tcPr>
          <w:p w14:paraId="4DA89DC1" w14:textId="28E04977" w:rsidR="00004E9C" w:rsidRPr="009E45C9" w:rsidRDefault="00004E9C" w:rsidP="00004E9C">
            <w:pPr>
              <w:spacing w:before="0" w:after="0" w:line="240" w:lineRule="auto"/>
              <w:jc w:val="left"/>
              <w:rPr>
                <w:rFonts w:cs="Arial"/>
                <w:color w:val="000000"/>
                <w:szCs w:val="20"/>
              </w:rPr>
            </w:pPr>
            <w:r w:rsidRPr="00C23EFA">
              <w:rPr>
                <w:color w:val="000000"/>
                <w:szCs w:val="20"/>
              </w:rPr>
              <w:t xml:space="preserve">Net income from livestock production </w:t>
            </w:r>
          </w:p>
        </w:tc>
        <w:tc>
          <w:tcPr>
            <w:tcW w:w="1590" w:type="dxa"/>
            <w:vAlign w:val="center"/>
          </w:tcPr>
          <w:p w14:paraId="58B8C0F1" w14:textId="778C580E" w:rsidR="00004E9C" w:rsidRPr="009E45C9" w:rsidRDefault="00004E9C" w:rsidP="00004E9C">
            <w:pPr>
              <w:spacing w:before="0" w:after="0" w:line="240" w:lineRule="auto"/>
              <w:jc w:val="left"/>
              <w:rPr>
                <w:rFonts w:cs="Arial"/>
                <w:color w:val="000000"/>
                <w:szCs w:val="20"/>
              </w:rPr>
            </w:pPr>
            <w:r>
              <w:rPr>
                <w:rFonts w:cs="Arial"/>
                <w:color w:val="000000"/>
                <w:szCs w:val="20"/>
              </w:rPr>
              <w:t>Binary and continuous</w:t>
            </w:r>
          </w:p>
        </w:tc>
        <w:tc>
          <w:tcPr>
            <w:tcW w:w="1856" w:type="dxa"/>
            <w:shd w:val="clear" w:color="auto" w:fill="auto"/>
            <w:vAlign w:val="center"/>
          </w:tcPr>
          <w:p w14:paraId="42CEB07F" w14:textId="3D7E72B1" w:rsidR="00004E9C" w:rsidRPr="009E45C9" w:rsidRDefault="00004E9C" w:rsidP="00004E9C">
            <w:pPr>
              <w:spacing w:before="0" w:after="0" w:line="240" w:lineRule="auto"/>
              <w:jc w:val="left"/>
              <w:rPr>
                <w:rFonts w:cs="Arial"/>
                <w:color w:val="000000"/>
                <w:szCs w:val="20"/>
              </w:rPr>
            </w:pPr>
            <w:r w:rsidRPr="009E45C9">
              <w:rPr>
                <w:rFonts w:cs="Arial"/>
                <w:color w:val="000000"/>
                <w:szCs w:val="20"/>
              </w:rPr>
              <w:t>Endline</w:t>
            </w:r>
          </w:p>
        </w:tc>
      </w:tr>
      <w:tr w:rsidR="00004E9C" w:rsidRPr="009E45C9" w14:paraId="36CFC366" w14:textId="77777777" w:rsidTr="0054706F">
        <w:tblPrEx>
          <w:tblLook w:val="0400" w:firstRow="0" w:lastRow="0" w:firstColumn="0" w:lastColumn="0" w:noHBand="0" w:noVBand="1"/>
        </w:tblPrEx>
        <w:trPr>
          <w:trHeight w:val="284"/>
        </w:trPr>
        <w:tc>
          <w:tcPr>
            <w:tcW w:w="6096" w:type="dxa"/>
            <w:shd w:val="clear" w:color="auto" w:fill="auto"/>
            <w:vAlign w:val="center"/>
          </w:tcPr>
          <w:p w14:paraId="1DACA8CD" w14:textId="234DE057" w:rsidR="00004E9C" w:rsidRPr="009E45C9" w:rsidRDefault="00004E9C" w:rsidP="00004E9C">
            <w:pPr>
              <w:spacing w:before="0" w:after="0" w:line="240" w:lineRule="auto"/>
              <w:jc w:val="left"/>
              <w:rPr>
                <w:rFonts w:cs="Arial"/>
                <w:color w:val="000000"/>
                <w:szCs w:val="20"/>
              </w:rPr>
            </w:pPr>
            <w:r w:rsidRPr="00C23EFA">
              <w:rPr>
                <w:color w:val="000000"/>
                <w:szCs w:val="20"/>
              </w:rPr>
              <w:t>Net income from any non-agricultural production</w:t>
            </w:r>
          </w:p>
        </w:tc>
        <w:tc>
          <w:tcPr>
            <w:tcW w:w="1590" w:type="dxa"/>
            <w:vAlign w:val="center"/>
          </w:tcPr>
          <w:p w14:paraId="03D48E2D" w14:textId="5E1AF663" w:rsidR="00004E9C" w:rsidRPr="009E45C9" w:rsidRDefault="00004E9C" w:rsidP="00004E9C">
            <w:pPr>
              <w:spacing w:before="0" w:after="0" w:line="240" w:lineRule="auto"/>
              <w:jc w:val="left"/>
              <w:rPr>
                <w:rFonts w:cs="Arial"/>
                <w:color w:val="000000"/>
                <w:szCs w:val="20"/>
              </w:rPr>
            </w:pPr>
            <w:r>
              <w:rPr>
                <w:rFonts w:cs="Arial"/>
                <w:color w:val="000000"/>
                <w:szCs w:val="20"/>
              </w:rPr>
              <w:t>Binary and continuous</w:t>
            </w:r>
          </w:p>
        </w:tc>
        <w:tc>
          <w:tcPr>
            <w:tcW w:w="1856" w:type="dxa"/>
            <w:shd w:val="clear" w:color="auto" w:fill="auto"/>
            <w:vAlign w:val="center"/>
          </w:tcPr>
          <w:p w14:paraId="0C5F15B0" w14:textId="2741DE2A" w:rsidR="00004E9C" w:rsidRPr="009E45C9" w:rsidRDefault="00004E9C" w:rsidP="00004E9C">
            <w:pPr>
              <w:spacing w:before="0" w:after="0" w:line="240" w:lineRule="auto"/>
              <w:jc w:val="left"/>
              <w:rPr>
                <w:rFonts w:cs="Arial"/>
                <w:color w:val="000000"/>
                <w:szCs w:val="20"/>
              </w:rPr>
            </w:pPr>
            <w:r w:rsidRPr="009E45C9">
              <w:rPr>
                <w:rFonts w:cs="Arial"/>
                <w:color w:val="000000"/>
                <w:szCs w:val="20"/>
              </w:rPr>
              <w:t>Endline</w:t>
            </w:r>
          </w:p>
        </w:tc>
      </w:tr>
      <w:tr w:rsidR="00004E9C" w:rsidRPr="009E45C9" w14:paraId="2AEF629D" w14:textId="77777777" w:rsidTr="0054706F">
        <w:tblPrEx>
          <w:tblLook w:val="0400" w:firstRow="0" w:lastRow="0" w:firstColumn="0" w:lastColumn="0" w:noHBand="0" w:noVBand="1"/>
        </w:tblPrEx>
        <w:trPr>
          <w:trHeight w:val="284"/>
        </w:trPr>
        <w:tc>
          <w:tcPr>
            <w:tcW w:w="6096" w:type="dxa"/>
            <w:shd w:val="clear" w:color="auto" w:fill="auto"/>
            <w:vAlign w:val="center"/>
          </w:tcPr>
          <w:p w14:paraId="3697293D" w14:textId="7E154077" w:rsidR="00004E9C" w:rsidRPr="00C23EFA" w:rsidRDefault="00004E9C" w:rsidP="00004E9C">
            <w:pPr>
              <w:spacing w:before="0" w:after="0" w:line="240" w:lineRule="auto"/>
              <w:jc w:val="left"/>
              <w:rPr>
                <w:color w:val="000000"/>
                <w:szCs w:val="20"/>
              </w:rPr>
            </w:pPr>
            <w:r>
              <w:rPr>
                <w:color w:val="000000"/>
                <w:szCs w:val="20"/>
              </w:rPr>
              <w:t>Household livestock asset index</w:t>
            </w:r>
          </w:p>
        </w:tc>
        <w:tc>
          <w:tcPr>
            <w:tcW w:w="1590" w:type="dxa"/>
            <w:vAlign w:val="center"/>
          </w:tcPr>
          <w:p w14:paraId="6015EAB7" w14:textId="2C68A322" w:rsidR="00004E9C" w:rsidRDefault="00004E9C" w:rsidP="00004E9C">
            <w:pPr>
              <w:spacing w:before="0" w:after="0" w:line="240" w:lineRule="auto"/>
              <w:jc w:val="left"/>
              <w:rPr>
                <w:rFonts w:cs="Arial"/>
                <w:color w:val="000000"/>
                <w:szCs w:val="20"/>
              </w:rPr>
            </w:pPr>
            <w:r>
              <w:rPr>
                <w:rFonts w:cs="Arial"/>
                <w:color w:val="000000"/>
                <w:szCs w:val="20"/>
              </w:rPr>
              <w:t>Continuous</w:t>
            </w:r>
          </w:p>
        </w:tc>
        <w:tc>
          <w:tcPr>
            <w:tcW w:w="1856" w:type="dxa"/>
            <w:shd w:val="clear" w:color="auto" w:fill="auto"/>
            <w:vAlign w:val="center"/>
          </w:tcPr>
          <w:p w14:paraId="43DA5B5A" w14:textId="58C720EF" w:rsidR="00004E9C" w:rsidRPr="009E45C9" w:rsidRDefault="00004E9C" w:rsidP="00004E9C">
            <w:pPr>
              <w:spacing w:before="0" w:after="0" w:line="240" w:lineRule="auto"/>
              <w:jc w:val="left"/>
              <w:rPr>
                <w:rFonts w:cs="Arial"/>
                <w:color w:val="000000"/>
                <w:szCs w:val="20"/>
              </w:rPr>
            </w:pPr>
            <w:r>
              <w:rPr>
                <w:rFonts w:cs="Arial"/>
                <w:color w:val="000000"/>
                <w:szCs w:val="20"/>
              </w:rPr>
              <w:t>Endline</w:t>
            </w:r>
          </w:p>
        </w:tc>
      </w:tr>
      <w:tr w:rsidR="00004E9C" w:rsidRPr="009E45C9" w14:paraId="6AD3545F" w14:textId="77777777" w:rsidTr="0054706F">
        <w:tblPrEx>
          <w:tblLook w:val="0400" w:firstRow="0" w:lastRow="0" w:firstColumn="0" w:lastColumn="0" w:noHBand="0" w:noVBand="1"/>
        </w:tblPrEx>
        <w:trPr>
          <w:trHeight w:val="284"/>
        </w:trPr>
        <w:tc>
          <w:tcPr>
            <w:tcW w:w="6096" w:type="dxa"/>
            <w:shd w:val="clear" w:color="auto" w:fill="auto"/>
            <w:vAlign w:val="center"/>
          </w:tcPr>
          <w:p w14:paraId="5956261B" w14:textId="1F7D57F4" w:rsidR="00004E9C" w:rsidRPr="009E45C9" w:rsidRDefault="00004E9C" w:rsidP="00004E9C">
            <w:pPr>
              <w:spacing w:before="0" w:after="0" w:line="240" w:lineRule="auto"/>
              <w:jc w:val="left"/>
              <w:rPr>
                <w:rFonts w:cs="Arial"/>
                <w:color w:val="000000"/>
                <w:szCs w:val="20"/>
              </w:rPr>
            </w:pPr>
            <w:r w:rsidRPr="00C23EFA">
              <w:rPr>
                <w:color w:val="000000"/>
                <w:szCs w:val="20"/>
              </w:rPr>
              <w:t xml:space="preserve">Credit access  </w:t>
            </w:r>
          </w:p>
        </w:tc>
        <w:tc>
          <w:tcPr>
            <w:tcW w:w="1590" w:type="dxa"/>
            <w:vAlign w:val="center"/>
          </w:tcPr>
          <w:p w14:paraId="5900C3FB" w14:textId="4B6B23FB" w:rsidR="00004E9C" w:rsidRPr="009E45C9" w:rsidRDefault="00004E9C" w:rsidP="00004E9C">
            <w:pPr>
              <w:spacing w:before="0" w:after="0" w:line="240" w:lineRule="auto"/>
              <w:jc w:val="left"/>
              <w:rPr>
                <w:rFonts w:cs="Arial"/>
                <w:color w:val="000000"/>
                <w:szCs w:val="20"/>
              </w:rPr>
            </w:pPr>
            <w:r>
              <w:rPr>
                <w:rFonts w:cs="Arial"/>
                <w:color w:val="000000"/>
                <w:szCs w:val="20"/>
              </w:rPr>
              <w:t>Binary and continuous</w:t>
            </w:r>
          </w:p>
        </w:tc>
        <w:tc>
          <w:tcPr>
            <w:tcW w:w="1856" w:type="dxa"/>
            <w:shd w:val="clear" w:color="auto" w:fill="auto"/>
            <w:vAlign w:val="center"/>
          </w:tcPr>
          <w:p w14:paraId="0D6B5CC9" w14:textId="6F828DBD" w:rsidR="00004E9C" w:rsidRPr="009E45C9" w:rsidRDefault="00004E9C" w:rsidP="00004E9C">
            <w:pPr>
              <w:spacing w:before="0" w:after="0" w:line="240" w:lineRule="auto"/>
              <w:jc w:val="left"/>
              <w:rPr>
                <w:rFonts w:cs="Arial"/>
                <w:color w:val="000000"/>
                <w:szCs w:val="20"/>
              </w:rPr>
            </w:pPr>
            <w:r>
              <w:rPr>
                <w:rFonts w:cs="Arial"/>
                <w:color w:val="000000"/>
                <w:szCs w:val="20"/>
              </w:rPr>
              <w:t>Endline</w:t>
            </w:r>
          </w:p>
        </w:tc>
      </w:tr>
    </w:tbl>
    <w:p w14:paraId="545D1BAB" w14:textId="3DCAEFFD" w:rsidR="00C31BA9" w:rsidRDefault="00C31BA9">
      <w:pPr>
        <w:spacing w:before="0" w:after="160" w:line="259" w:lineRule="auto"/>
        <w:jc w:val="left"/>
        <w:rPr>
          <w:rFonts w:eastAsia="Arial"/>
          <w:color w:val="FF0000"/>
        </w:rPr>
      </w:pPr>
    </w:p>
    <w:p w14:paraId="2B08E16E" w14:textId="2D6583DE" w:rsidR="00CD1B2B" w:rsidRDefault="00CD1B2B" w:rsidP="0045347F">
      <w:r>
        <w:t xml:space="preserve">In general, we plan to interpret the analysis primarily as assessing the effect of the nutritional interventions </w:t>
      </w:r>
      <w:r w:rsidR="00124B42">
        <w:t>(nurturing care groups and maternal grants)</w:t>
      </w:r>
      <w:r>
        <w:t xml:space="preserve"> on nutritional outcomes, while assessing the effect of the livelihood interventions implemented in the same experimental arms on livelihoods outcomes. However, it is also important to note that there could be an effect of the livelihood interventions directly on nutrition interventions: i.e., a household that has a more stable income stream and more consumption expenditure available may direct some of this consumption to an infant or young child in the form of a more diverse diet.  </w:t>
      </w:r>
    </w:p>
    <w:p w14:paraId="01C83A2D" w14:textId="4197A076" w:rsidR="0045347F" w:rsidRPr="0029453B" w:rsidRDefault="00CD1B2B" w:rsidP="0045347F">
      <w:r>
        <w:t xml:space="preserve">While our evaluation design will allow us to </w:t>
      </w:r>
      <w:r w:rsidR="00377F05">
        <w:t xml:space="preserve">shed </w:t>
      </w:r>
      <w:r>
        <w:t xml:space="preserve">some light on these effects, previous evidence from a randomized trial conducted in </w:t>
      </w:r>
      <w:r w:rsidR="0010068B">
        <w:t>a similar</w:t>
      </w:r>
      <w:r>
        <w:t xml:space="preserve"> population suggests that effects on livelihood outcomes are not likely to be large (will not exceed </w:t>
      </w:r>
      <w:r w:rsidR="00161C49">
        <w:t>0</w:t>
      </w:r>
      <w:r>
        <w:t xml:space="preserve">.1 standard deviations) and thus </w:t>
      </w:r>
      <w:r w:rsidR="000408E4">
        <w:t>their contribution to</w:t>
      </w:r>
      <w:r>
        <w:t xml:space="preserve"> IYCF outcomes may be unlikely.</w:t>
      </w:r>
      <w:r>
        <w:rPr>
          <w:rStyle w:val="FootnoteReference"/>
        </w:rPr>
        <w:footnoteReference w:id="14"/>
      </w:r>
      <w:r>
        <w:t xml:space="preserve"> In particular, previous evidence from the SPIR I trial suggests there was no significant effect of bundled livelihoods interventions on household-level consumption even in </w:t>
      </w:r>
      <w:r w:rsidR="00B8796C">
        <w:t>the sub</w:t>
      </w:r>
      <w:r>
        <w:t xml:space="preserve">sample where all households received $200 transfers; accordingly, given that only </w:t>
      </w:r>
      <w:r w:rsidR="00414CFB">
        <w:t>a 33</w:t>
      </w:r>
      <w:r w:rsidR="001779FC">
        <w:t xml:space="preserve"> percent</w:t>
      </w:r>
      <w:r w:rsidR="00414CFB">
        <w:t xml:space="preserve"> subsample </w:t>
      </w:r>
      <w:r>
        <w:t xml:space="preserve">of our pooled sample will receive </w:t>
      </w:r>
      <w:r w:rsidR="00377F05">
        <w:t xml:space="preserve">lump-sum </w:t>
      </w:r>
      <w:r>
        <w:t>transfers</w:t>
      </w:r>
      <w:r w:rsidR="00414CFB">
        <w:t xml:space="preserve"> (as described in more detail below)</w:t>
      </w:r>
      <w:r>
        <w:t>, the probability of a significant effect on consumption may be low (Alderman et al. 2021).  In addition, in the previous trial, t</w:t>
      </w:r>
      <w:r w:rsidR="00124B42">
        <w:t xml:space="preserve">he only positive </w:t>
      </w:r>
      <w:r w:rsidR="00124B42">
        <w:lastRenderedPageBreak/>
        <w:t>effect observed for the subsample of households that did not receive transfers was increased household savings.</w:t>
      </w:r>
      <w:r w:rsidR="006C1748">
        <w:t xml:space="preserve">  </w:t>
      </w:r>
    </w:p>
    <w:p w14:paraId="51E6E35F" w14:textId="3BC4212A" w:rsidR="00124B42" w:rsidRPr="0029453B" w:rsidRDefault="00CD1B2B" w:rsidP="0045347F">
      <w:pPr>
        <w:rPr>
          <w:rFonts w:eastAsia="Arial"/>
        </w:rPr>
      </w:pPr>
      <w:r w:rsidRPr="0029453B">
        <w:rPr>
          <w:rFonts w:eastAsia="Arial"/>
        </w:rPr>
        <w:t xml:space="preserve">To further </w:t>
      </w:r>
      <w:r w:rsidR="00124B42">
        <w:rPr>
          <w:rFonts w:eastAsia="Arial"/>
        </w:rPr>
        <w:t>substantiate the hypothesis that the primary channel for any positive effects on nutrition-related outcomes is the effects of the nurturing care groups (as distinct from any livelihoods-related interventions)</w:t>
      </w:r>
      <w:r w:rsidRPr="0029453B">
        <w:rPr>
          <w:rFonts w:eastAsia="Arial"/>
        </w:rPr>
        <w:t>, we will</w:t>
      </w:r>
      <w:r w:rsidR="00B8796C">
        <w:rPr>
          <w:rFonts w:eastAsia="Arial"/>
        </w:rPr>
        <w:t xml:space="preserve"> conduct two additional tests.</w:t>
      </w:r>
      <w:r w:rsidR="004B2306">
        <w:rPr>
          <w:rFonts w:eastAsia="Arial"/>
        </w:rPr>
        <w:t xml:space="preserve"> </w:t>
      </w:r>
      <w:r w:rsidR="00B8796C">
        <w:rPr>
          <w:rFonts w:eastAsia="Arial"/>
        </w:rPr>
        <w:t>First, we will</w:t>
      </w:r>
      <w:r w:rsidRPr="0029453B">
        <w:rPr>
          <w:rFonts w:eastAsia="Arial"/>
        </w:rPr>
        <w:t xml:space="preserve"> examine the effects of the bundled interventions on IYCF</w:t>
      </w:r>
      <w:r w:rsidR="000408E4">
        <w:rPr>
          <w:rFonts w:eastAsia="Arial"/>
        </w:rPr>
        <w:t xml:space="preserve"> and anthropometric</w:t>
      </w:r>
      <w:r w:rsidRPr="0029453B">
        <w:rPr>
          <w:rFonts w:eastAsia="Arial"/>
        </w:rPr>
        <w:t xml:space="preserve"> outcomes within the subsample (66</w:t>
      </w:r>
      <w:r w:rsidR="001779FC">
        <w:rPr>
          <w:rFonts w:eastAsia="Arial"/>
        </w:rPr>
        <w:t xml:space="preserve"> percent</w:t>
      </w:r>
      <w:r w:rsidRPr="0029453B">
        <w:rPr>
          <w:rFonts w:eastAsia="Arial"/>
        </w:rPr>
        <w:t xml:space="preserve"> of households) that </w:t>
      </w:r>
      <w:proofErr w:type="gramStart"/>
      <w:r w:rsidRPr="0029453B">
        <w:rPr>
          <w:rFonts w:eastAsia="Arial"/>
        </w:rPr>
        <w:t>does</w:t>
      </w:r>
      <w:proofErr w:type="gramEnd"/>
      <w:r w:rsidRPr="0029453B">
        <w:rPr>
          <w:rFonts w:eastAsia="Arial"/>
        </w:rPr>
        <w:t xml:space="preserve"> not receive any</w:t>
      </w:r>
      <w:r w:rsidR="00414CFB">
        <w:rPr>
          <w:rFonts w:eastAsia="Arial"/>
        </w:rPr>
        <w:t xml:space="preserve"> livelihood</w:t>
      </w:r>
      <w:r w:rsidRPr="0029453B">
        <w:rPr>
          <w:rFonts w:eastAsia="Arial"/>
        </w:rPr>
        <w:t xml:space="preserve"> transfers. As noted above, these households are not likely to show any meaningful effects on livelihoods outcomes other than </w:t>
      </w:r>
      <w:r w:rsidR="009A143B" w:rsidRPr="0029453B">
        <w:rPr>
          <w:rFonts w:eastAsia="Arial"/>
        </w:rPr>
        <w:t>savings, and thus the scope for any ancillary effects on IYCF outcomes is minimal.</w:t>
      </w:r>
      <w:r w:rsidR="006C1748">
        <w:rPr>
          <w:rFonts w:eastAsia="Arial"/>
        </w:rPr>
        <w:t xml:space="preserve"> </w:t>
      </w:r>
      <w:r w:rsidR="00B8796C">
        <w:rPr>
          <w:rFonts w:eastAsia="Arial"/>
        </w:rPr>
        <w:t>Second, we will test the hypothesis that the effect</w:t>
      </w:r>
      <w:r w:rsidR="00124B42">
        <w:rPr>
          <w:rFonts w:eastAsia="Arial"/>
        </w:rPr>
        <w:t>s</w:t>
      </w:r>
      <w:r w:rsidR="00B8796C">
        <w:rPr>
          <w:rFonts w:eastAsia="Arial"/>
        </w:rPr>
        <w:t xml:space="preserve"> of SPIR</w:t>
      </w:r>
      <w:r w:rsidR="00124B42">
        <w:rPr>
          <w:rFonts w:eastAsia="Arial"/>
        </w:rPr>
        <w:t xml:space="preserve"> I (a pooled treatment indicator) and SPIR II (T2) on primary nutritional outcomes (child diet diversity and height-for-age) are equal, stacking both datasets</w:t>
      </w:r>
      <w:r w:rsidR="0027479D">
        <w:rPr>
          <w:rFonts w:eastAsia="Arial"/>
        </w:rPr>
        <w:t>, interacting with a trial dummy (SPIR-I vs SPIR-II)</w:t>
      </w:r>
      <w:r w:rsidR="00124B42">
        <w:rPr>
          <w:rFonts w:eastAsia="Arial"/>
        </w:rPr>
        <w:t xml:space="preserve"> and </w:t>
      </w:r>
      <w:r w:rsidR="0027479D">
        <w:rPr>
          <w:rFonts w:eastAsia="Arial"/>
        </w:rPr>
        <w:t>test</w:t>
      </w:r>
      <w:r w:rsidR="004B2306">
        <w:rPr>
          <w:rFonts w:eastAsia="Arial"/>
        </w:rPr>
        <w:t>ing if the treatment coefficients are identical</w:t>
      </w:r>
      <w:r w:rsidR="00124B42">
        <w:rPr>
          <w:rFonts w:eastAsia="Arial"/>
        </w:rPr>
        <w:t>.</w:t>
      </w:r>
      <w:r w:rsidR="00124B42">
        <w:rPr>
          <w:rStyle w:val="FootnoteReference"/>
          <w:rFonts w:eastAsia="Arial"/>
        </w:rPr>
        <w:footnoteReference w:id="15"/>
      </w:r>
      <w:r w:rsidR="00124B42">
        <w:rPr>
          <w:rFonts w:eastAsia="Arial"/>
        </w:rPr>
        <w:t xml:space="preserve"> If this hypothesis is rejected, this is suggestive evidence that any positive effects on nutritional outcomes are attributable to the nurturing care groups (novel in SPIR II) as opposed to the broader package of livelihoods-related interventions (present in both trials).</w:t>
      </w:r>
    </w:p>
    <w:p w14:paraId="383C9FDD" w14:textId="05CD657A" w:rsidR="00334DF2" w:rsidRPr="009E45C9" w:rsidRDefault="00414CFB" w:rsidP="00334DF2">
      <w:pPr>
        <w:pStyle w:val="Heading2"/>
      </w:pPr>
      <w:bookmarkStart w:id="33" w:name="_2jxsxqh" w:colFirst="0" w:colLast="0"/>
      <w:bookmarkStart w:id="34" w:name="_Toc519758678"/>
      <w:bookmarkStart w:id="35" w:name="_Toc22739150"/>
      <w:bookmarkStart w:id="36" w:name="_Toc22739613"/>
      <w:bookmarkStart w:id="37" w:name="_Toc126582978"/>
      <w:bookmarkEnd w:id="33"/>
      <w:r>
        <w:t>I</w:t>
      </w:r>
      <w:r w:rsidR="00334DF2" w:rsidRPr="009E45C9">
        <w:t>dentification strategy</w:t>
      </w:r>
      <w:bookmarkEnd w:id="34"/>
      <w:bookmarkEnd w:id="35"/>
      <w:bookmarkEnd w:id="36"/>
      <w:bookmarkEnd w:id="37"/>
    </w:p>
    <w:p w14:paraId="5E0870BE" w14:textId="492C3469" w:rsidR="00AF3FA8" w:rsidRDefault="009E45C9" w:rsidP="009E45C9">
      <w:r>
        <w:t xml:space="preserve">The evaluation is a cluster </w:t>
      </w:r>
      <w:r w:rsidR="00037B41">
        <w:t>RCT</w:t>
      </w:r>
      <w:r>
        <w:t xml:space="preserve"> where the cluster is defined as the </w:t>
      </w:r>
      <w:r>
        <w:rPr>
          <w:i/>
        </w:rPr>
        <w:t>kebele</w:t>
      </w:r>
      <w:r>
        <w:t xml:space="preserve"> (</w:t>
      </w:r>
      <w:r w:rsidR="003115CA">
        <w:t xml:space="preserve">subdistrict, the </w:t>
      </w:r>
      <w:r>
        <w:t>lowest administrative level in Ethiopia).</w:t>
      </w:r>
      <w:r w:rsidR="00280C14">
        <w:t xml:space="preserve"> We follow a cohort of</w:t>
      </w:r>
      <w:r w:rsidR="00C919E8">
        <w:t xml:space="preserve"> </w:t>
      </w:r>
      <w:r w:rsidR="00AF3FA8">
        <w:t xml:space="preserve">PSNP </w:t>
      </w:r>
      <w:r w:rsidR="00C919E8">
        <w:t>households and their</w:t>
      </w:r>
      <w:r w:rsidR="00280C14">
        <w:t xml:space="preserve"> infants for a </w:t>
      </w:r>
      <w:r w:rsidR="001779FC">
        <w:t>three</w:t>
      </w:r>
      <w:r w:rsidR="00280C14">
        <w:t xml:space="preserve">-year period, </w:t>
      </w:r>
      <w:r w:rsidR="001779FC">
        <w:t>encompassing</w:t>
      </w:r>
      <w:r w:rsidR="00280C14">
        <w:t xml:space="preserve"> the critical period during which</w:t>
      </w:r>
      <w:r w:rsidR="00161C49">
        <w:t xml:space="preserve"> linear</w:t>
      </w:r>
      <w:r w:rsidR="00280C14">
        <w:t xml:space="preserve"> growth faltering is common in Ethiopia. Kebeles will be randomly allocated to different study arms, permitting us to identify the causal impact of SPIR programming </w:t>
      </w:r>
      <w:r w:rsidR="00E86E87">
        <w:t xml:space="preserve">along the theory of change </w:t>
      </w:r>
      <w:r w:rsidR="00280C14">
        <w:t>on caregiver knowledge, child diets</w:t>
      </w:r>
      <w:r w:rsidR="00C919E8">
        <w:t>,</w:t>
      </w:r>
      <w:r w:rsidR="00280C14">
        <w:t xml:space="preserve"> anthropometric outcomes</w:t>
      </w:r>
      <w:r w:rsidR="00414CFB">
        <w:t>,</w:t>
      </w:r>
      <w:r w:rsidR="00C919E8">
        <w:t xml:space="preserve"> and livelihood outcomes</w:t>
      </w:r>
      <w:r w:rsidR="00280C14">
        <w:t>.</w:t>
      </w:r>
      <w:r w:rsidR="00E47B2A">
        <w:t xml:space="preserve"> </w:t>
      </w:r>
    </w:p>
    <w:p w14:paraId="6E1AAF96" w14:textId="730E2FB2" w:rsidR="002B0692" w:rsidRDefault="002B0692" w:rsidP="002B0692">
      <w:pPr>
        <w:pStyle w:val="Heading2"/>
      </w:pPr>
      <w:bookmarkStart w:id="38" w:name="_z337ya" w:colFirst="0" w:colLast="0"/>
      <w:bookmarkStart w:id="39" w:name="_Toc22739152"/>
      <w:bookmarkStart w:id="40" w:name="_Toc22739615"/>
      <w:bookmarkStart w:id="41" w:name="_Toc126582980"/>
      <w:bookmarkEnd w:id="38"/>
      <w:r w:rsidRPr="00FA1C3A">
        <w:t>S</w:t>
      </w:r>
      <w:bookmarkEnd w:id="39"/>
      <w:bookmarkEnd w:id="40"/>
      <w:bookmarkEnd w:id="41"/>
      <w:r w:rsidR="00FA1C3A" w:rsidRPr="00FA1C3A">
        <w:t>ample and statistical power</w:t>
      </w:r>
    </w:p>
    <w:p w14:paraId="13E68944" w14:textId="6B690732" w:rsidR="000942F3" w:rsidRDefault="000942F3" w:rsidP="001779FC">
      <w:r>
        <w:t>The sampling criteria for the evaluation were as follows.</w:t>
      </w:r>
    </w:p>
    <w:p w14:paraId="0E2CA9EE" w14:textId="77777777" w:rsidR="000942F3" w:rsidRDefault="00000000" w:rsidP="0029453B">
      <w:pPr>
        <w:numPr>
          <w:ilvl w:val="0"/>
          <w:numId w:val="17"/>
        </w:numPr>
        <w:pBdr>
          <w:top w:val="nil"/>
          <w:left w:val="nil"/>
          <w:bottom w:val="nil"/>
          <w:right w:val="nil"/>
          <w:between w:val="nil"/>
        </w:pBdr>
        <w:spacing w:before="0" w:after="0"/>
        <w:jc w:val="left"/>
      </w:pPr>
      <w:sdt>
        <w:sdtPr>
          <w:tag w:val="goog_rdk_12"/>
          <w:id w:val="1046870584"/>
        </w:sdtPr>
        <w:sdtContent/>
      </w:sdt>
      <w:sdt>
        <w:sdtPr>
          <w:tag w:val="goog_rdk_13"/>
          <w:id w:val="-1820722983"/>
        </w:sdtPr>
        <w:sdtContent/>
      </w:sdt>
      <w:r w:rsidR="000942F3">
        <w:rPr>
          <w:color w:val="000000"/>
        </w:rPr>
        <w:t>The household must be enrolled as a PSNP beneficiary in a target kebele.</w:t>
      </w:r>
    </w:p>
    <w:p w14:paraId="627FDA16" w14:textId="77777777" w:rsidR="000942F3" w:rsidRDefault="00000000" w:rsidP="0029453B">
      <w:pPr>
        <w:numPr>
          <w:ilvl w:val="0"/>
          <w:numId w:val="17"/>
        </w:numPr>
        <w:pBdr>
          <w:top w:val="nil"/>
          <w:left w:val="nil"/>
          <w:bottom w:val="nil"/>
          <w:right w:val="nil"/>
          <w:between w:val="nil"/>
        </w:pBdr>
        <w:spacing w:before="0" w:after="0"/>
        <w:jc w:val="left"/>
      </w:pPr>
      <w:sdt>
        <w:sdtPr>
          <w:tag w:val="goog_rdk_15"/>
          <w:id w:val="1904786967"/>
        </w:sdtPr>
        <w:sdtContent/>
      </w:sdt>
      <w:r w:rsidR="000942F3">
        <w:rPr>
          <w:color w:val="000000"/>
        </w:rPr>
        <w:t>The household must meet one of the following characteristics:</w:t>
      </w:r>
    </w:p>
    <w:p w14:paraId="5DDE7AE5" w14:textId="77777777" w:rsidR="000942F3" w:rsidRDefault="000942F3" w:rsidP="0029453B">
      <w:pPr>
        <w:numPr>
          <w:ilvl w:val="0"/>
          <w:numId w:val="18"/>
        </w:numPr>
        <w:pBdr>
          <w:top w:val="nil"/>
          <w:left w:val="nil"/>
          <w:bottom w:val="nil"/>
          <w:right w:val="nil"/>
          <w:between w:val="nil"/>
        </w:pBdr>
        <w:spacing w:before="0" w:after="0"/>
        <w:jc w:val="left"/>
      </w:pPr>
      <w:r>
        <w:rPr>
          <w:color w:val="000000"/>
        </w:rPr>
        <w:t>There is a pregnant woman present who self-reports pregnancy, with an estimated gestational age that is at least 3 months (i.e., following the first trimester).</w:t>
      </w:r>
    </w:p>
    <w:p w14:paraId="3B1D9B87" w14:textId="77777777" w:rsidR="000942F3" w:rsidRDefault="000942F3" w:rsidP="0029453B">
      <w:pPr>
        <w:numPr>
          <w:ilvl w:val="0"/>
          <w:numId w:val="18"/>
        </w:numPr>
        <w:pBdr>
          <w:top w:val="nil"/>
          <w:left w:val="nil"/>
          <w:bottom w:val="nil"/>
          <w:right w:val="nil"/>
          <w:between w:val="nil"/>
        </w:pBdr>
        <w:spacing w:before="0" w:after="160"/>
        <w:jc w:val="left"/>
      </w:pPr>
      <w:r>
        <w:rPr>
          <w:color w:val="000000"/>
        </w:rPr>
        <w:t xml:space="preserve">There is an infant present aged less than 9 months as of the date of survey; </w:t>
      </w:r>
      <w:proofErr w:type="gramStart"/>
      <w:r>
        <w:rPr>
          <w:color w:val="000000"/>
        </w:rPr>
        <w:t>and,</w:t>
      </w:r>
      <w:proofErr w:type="gramEnd"/>
      <w:r>
        <w:rPr>
          <w:color w:val="000000"/>
        </w:rPr>
        <w:t xml:space="preserve"> the infant’s mother or primary caretaker is also resident in the household.</w:t>
      </w:r>
    </w:p>
    <w:p w14:paraId="358FB139" w14:textId="30A67A0F" w:rsidR="000942F3" w:rsidRDefault="000942F3" w:rsidP="001779FC">
      <w:r>
        <w:t xml:space="preserve">The sample was constructed using PSNP beneficiary lists at the household level; these lists were randomly ordered at the level of the </w:t>
      </w:r>
      <w:proofErr w:type="spellStart"/>
      <w:r>
        <w:t>gotte</w:t>
      </w:r>
      <w:proofErr w:type="spellEnd"/>
      <w:r>
        <w:t xml:space="preserve"> (village)</w:t>
      </w:r>
      <w:r w:rsidR="0094282A">
        <w:t xml:space="preserve"> within kebeles</w:t>
      </w:r>
      <w:r>
        <w:t>, and households were screened following this random order to identify whether they met the criteria above. The target sample was 13 households per kebele, including seven households including a pregnant woman and six households including an infant.</w:t>
      </w:r>
    </w:p>
    <w:p w14:paraId="33218C60" w14:textId="6E3915A8" w:rsidR="00DE0F51" w:rsidRDefault="000942F3" w:rsidP="001779FC">
      <w:r>
        <w:t xml:space="preserve">The </w:t>
      </w:r>
      <w:r w:rsidR="001941B7">
        <w:t xml:space="preserve">target sample included </w:t>
      </w:r>
      <w:r w:rsidR="006C1748" w:rsidRPr="00241994">
        <w:t>3,081</w:t>
      </w:r>
      <w:r w:rsidR="001941B7">
        <w:t xml:space="preserve"> households in 237 kebeles. The </w:t>
      </w:r>
      <w:r>
        <w:t>realized sample</w:t>
      </w:r>
      <w:r w:rsidR="00FB2A55">
        <w:t xml:space="preserve"> at baseline</w:t>
      </w:r>
      <w:r>
        <w:t xml:space="preserve"> included 3,015 households in 234 kebeles (see Table </w:t>
      </w:r>
      <w:r w:rsidR="004271F3">
        <w:t>A1 in the appendix</w:t>
      </w:r>
      <w:r>
        <w:t>).</w:t>
      </w:r>
      <w:r w:rsidR="00FB2A55">
        <w:t xml:space="preserve"> </w:t>
      </w:r>
      <w:r>
        <w:t xml:space="preserve">Three kebeles were excluded from the sample due to ongoing conflict or civil unrest that rendered them inaccessible during the baseline survey.  </w:t>
      </w:r>
      <w:r>
        <w:lastRenderedPageBreak/>
        <w:t>Within the remaining kebeles, the sampling targets were achieved</w:t>
      </w:r>
      <w:r w:rsidR="00CD1B2B">
        <w:t xml:space="preserve">, as summarized in the sample composition </w:t>
      </w:r>
      <w:r w:rsidR="00496F85">
        <w:t xml:space="preserve">table </w:t>
      </w:r>
      <w:r w:rsidR="004271F3">
        <w:t>provided in Table A1 in the appendix</w:t>
      </w:r>
      <w:r w:rsidR="00CD1B2B">
        <w:t>.</w:t>
      </w:r>
      <w:r w:rsidR="00DE0F51">
        <w:t xml:space="preserve"> </w:t>
      </w:r>
    </w:p>
    <w:p w14:paraId="32FF009D" w14:textId="7ADB1DA6" w:rsidR="00DE0F51" w:rsidRDefault="00DE0F51" w:rsidP="00C20A66">
      <w:r>
        <w:t>Using this sample, t</w:t>
      </w:r>
      <w:r w:rsidR="001779FC">
        <w:t xml:space="preserve">he </w:t>
      </w:r>
      <w:r w:rsidR="00B2011B">
        <w:t>unit of analysis is either a young child or his/her mother</w:t>
      </w:r>
      <w:r w:rsidR="000942F3">
        <w:t xml:space="preserve"> or </w:t>
      </w:r>
      <w:r w:rsidR="007A3C41">
        <w:t xml:space="preserve">their </w:t>
      </w:r>
      <w:r w:rsidR="000942F3">
        <w:t>household</w:t>
      </w:r>
      <w:r w:rsidR="00B2011B">
        <w:t xml:space="preserve"> observed in the baseline, midline and/or endline. </w:t>
      </w:r>
    </w:p>
    <w:p w14:paraId="35115F57" w14:textId="24B0DFD5" w:rsidR="00C20A66" w:rsidRDefault="00C20A66" w:rsidP="00C20A66">
      <w:r>
        <w:t xml:space="preserve">We conducted power calculations using the </w:t>
      </w:r>
      <w:r w:rsidR="007A3C41">
        <w:t xml:space="preserve">Stata </w:t>
      </w:r>
      <w:r w:rsidR="00243BD1">
        <w:t xml:space="preserve">command </w:t>
      </w:r>
      <w:r w:rsidR="00243BD1" w:rsidRPr="001509A7">
        <w:rPr>
          <w:i/>
          <w:iCs/>
        </w:rPr>
        <w:t xml:space="preserve">power </w:t>
      </w:r>
      <w:proofErr w:type="spellStart"/>
      <w:r w:rsidR="00243BD1" w:rsidRPr="001509A7">
        <w:rPr>
          <w:i/>
          <w:iCs/>
        </w:rPr>
        <w:t>twomeans</w:t>
      </w:r>
      <w:proofErr w:type="spellEnd"/>
      <w:r>
        <w:t>, setting the significance level at 5</w:t>
      </w:r>
      <w:r w:rsidR="00D87A10">
        <w:t xml:space="preserve"> percent</w:t>
      </w:r>
      <w:r>
        <w:t xml:space="preserve"> and power at 80</w:t>
      </w:r>
      <w:r w:rsidR="00D87A10">
        <w:t xml:space="preserve"> percent</w:t>
      </w:r>
      <w:r>
        <w:t>, and allowing for 10</w:t>
      </w:r>
      <w:r w:rsidR="00D87A10">
        <w:t xml:space="preserve"> </w:t>
      </w:r>
      <w:r>
        <w:t>percent attrition between baseline and endline surveys.</w:t>
      </w:r>
      <w:r w:rsidR="004800C8">
        <w:t xml:space="preserve"> </w:t>
      </w:r>
      <w:r w:rsidR="00CD1B2B">
        <w:t xml:space="preserve">Power calculations are reported only for </w:t>
      </w:r>
      <w:r w:rsidR="00004E9C">
        <w:t xml:space="preserve">the </w:t>
      </w:r>
      <w:r w:rsidR="00CD1B2B">
        <w:t xml:space="preserve">primary </w:t>
      </w:r>
      <w:r w:rsidR="00004E9C">
        <w:t xml:space="preserve">(nutrition-related) </w:t>
      </w:r>
      <w:r w:rsidR="00CD1B2B">
        <w:t>outcomes</w:t>
      </w:r>
      <w:r w:rsidR="00004E9C">
        <w:t xml:space="preserve"> and for a subset of the livelihoods-related outcomes that have been designated as secondary.</w:t>
      </w:r>
    </w:p>
    <w:p w14:paraId="58BB64F4" w14:textId="39E6BFB0" w:rsidR="004800C8" w:rsidRDefault="004800C8" w:rsidP="00C20A66">
      <w:r>
        <w:t xml:space="preserve">Using data from the control arm in the SPIR-1 endline survey conducted in 2021, we estimated </w:t>
      </w:r>
      <w:r>
        <w:rPr>
          <w:szCs w:val="20"/>
        </w:rPr>
        <w:t>the</w:t>
      </w:r>
      <w:r w:rsidRPr="00325116">
        <w:rPr>
          <w:szCs w:val="20"/>
        </w:rPr>
        <w:t xml:space="preserve"> mean</w:t>
      </w:r>
      <w:r>
        <w:rPr>
          <w:szCs w:val="20"/>
        </w:rPr>
        <w:t>, standard deviation, and intra-cluster correlation for each outcome</w:t>
      </w:r>
      <w:r w:rsidR="002D6EDA">
        <w:rPr>
          <w:szCs w:val="20"/>
        </w:rPr>
        <w:t xml:space="preserve">; this information is summarized in Table </w:t>
      </w:r>
      <w:r w:rsidR="00E47B2A">
        <w:rPr>
          <w:szCs w:val="20"/>
        </w:rPr>
        <w:t>4a</w:t>
      </w:r>
      <w:r>
        <w:rPr>
          <w:szCs w:val="20"/>
        </w:rPr>
        <w:t xml:space="preserve">. </w:t>
      </w:r>
      <w:r w:rsidR="00605125">
        <w:t>We also use estimates derived from the SPIR I trial of the autocorrelation in outcomes and the predictive power of woreda-level fixed effects to adjust for the reduced variance in outcomes when including controls for baseline levels and woreda fixed effects.</w:t>
      </w:r>
      <w:r w:rsidR="00605125">
        <w:rPr>
          <w:rStyle w:val="FootnoteReference"/>
        </w:rPr>
        <w:footnoteReference w:id="16"/>
      </w:r>
      <w:r w:rsidR="00605125">
        <w:t xml:space="preserve"> </w:t>
      </w:r>
    </w:p>
    <w:p w14:paraId="28A0DE48" w14:textId="700FB71A" w:rsidR="00C20A66" w:rsidRDefault="00605125" w:rsidP="00C20A66">
      <w:r>
        <w:t>For the nutrition-related outcomes</w:t>
      </w:r>
      <w:r w:rsidR="00931333">
        <w:t>,</w:t>
      </w:r>
      <w:r>
        <w:t xml:space="preserve"> we estimate statistical power corresponding to the comparison of each treatment arm to the control arm;</w:t>
      </w:r>
      <w:r w:rsidR="00931333">
        <w:t xml:space="preserve"> </w:t>
      </w:r>
      <w:r w:rsidR="00641A03">
        <w:t>the</w:t>
      </w:r>
      <w:r w:rsidR="00C20A66">
        <w:t xml:space="preserve"> evaluation is able to detect a 0.1</w:t>
      </w:r>
      <w:r w:rsidR="00931333">
        <w:t>2</w:t>
      </w:r>
      <w:r w:rsidR="00C20A66">
        <w:t>–food group improvement in children’s dietary diversity, a 0.2</w:t>
      </w:r>
      <w:r w:rsidR="00931333">
        <w:t>3</w:t>
      </w:r>
      <w:r w:rsidR="00C20A66">
        <w:t>–unit change in height-for-age z-score</w:t>
      </w:r>
      <w:r w:rsidR="00C04258">
        <w:t xml:space="preserve"> (</w:t>
      </w:r>
      <w:r w:rsidR="007A3C41">
        <w:t>0</w:t>
      </w:r>
      <w:r>
        <w:t>.</w:t>
      </w:r>
      <w:r w:rsidR="00C04258">
        <w:t>1</w:t>
      </w:r>
      <w:r w:rsidR="00243BD1">
        <w:t>4</w:t>
      </w:r>
      <w:r w:rsidR="002D6EDA">
        <w:t xml:space="preserve"> </w:t>
      </w:r>
      <w:r w:rsidR="00C04258">
        <w:t>SD)</w:t>
      </w:r>
      <w:r w:rsidR="00C20A66">
        <w:t>, and a</w:t>
      </w:r>
      <w:r w:rsidR="00641A03">
        <w:t xml:space="preserve"> </w:t>
      </w:r>
      <w:r w:rsidR="00641A03">
        <w:rPr>
          <w:szCs w:val="20"/>
        </w:rPr>
        <w:t>0.2</w:t>
      </w:r>
      <w:r w:rsidR="00243BD1">
        <w:rPr>
          <w:szCs w:val="20"/>
        </w:rPr>
        <w:t>6</w:t>
      </w:r>
      <w:r w:rsidR="00641A03">
        <w:rPr>
          <w:szCs w:val="20"/>
        </w:rPr>
        <w:t xml:space="preserve">-unit improvement in </w:t>
      </w:r>
      <w:r w:rsidR="00641A03" w:rsidRPr="000D5692">
        <w:t>IYCF knowledge</w:t>
      </w:r>
      <w:r w:rsidR="00931333">
        <w:rPr>
          <w:szCs w:val="20"/>
        </w:rPr>
        <w:t xml:space="preserve"> (</w:t>
      </w:r>
      <w:r w:rsidR="007A3C41">
        <w:rPr>
          <w:szCs w:val="20"/>
        </w:rPr>
        <w:t>0</w:t>
      </w:r>
      <w:r>
        <w:rPr>
          <w:szCs w:val="20"/>
        </w:rPr>
        <w:t>.23</w:t>
      </w:r>
      <w:r w:rsidR="00641A03">
        <w:rPr>
          <w:szCs w:val="20"/>
        </w:rPr>
        <w:t xml:space="preserve"> </w:t>
      </w:r>
      <w:r w:rsidR="00931333">
        <w:rPr>
          <w:szCs w:val="20"/>
        </w:rPr>
        <w:t>SD)</w:t>
      </w:r>
      <w:r w:rsidR="00641A03">
        <w:rPr>
          <w:szCs w:val="20"/>
        </w:rPr>
        <w:t>.</w:t>
      </w:r>
      <w:r w:rsidR="00641A03">
        <w:rPr>
          <w:rStyle w:val="FootnoteReference"/>
          <w:szCs w:val="20"/>
        </w:rPr>
        <w:footnoteReference w:id="17"/>
      </w:r>
      <w:r w:rsidR="00641A03">
        <w:rPr>
          <w:szCs w:val="20"/>
        </w:rPr>
        <w:t xml:space="preserve"> </w:t>
      </w:r>
      <w:r w:rsidR="00C04258">
        <w:t>These minimum detectable effect (MDE) sizes are biologically meaningful and in line with findings in previous trials. First, our MDE</w:t>
      </w:r>
      <w:r w:rsidR="00472715">
        <w:t>s</w:t>
      </w:r>
      <w:r w:rsidR="00C04258">
        <w:t xml:space="preserve"> for children’s dietary diversity</w:t>
      </w:r>
      <w:r w:rsidR="00472715">
        <w:t xml:space="preserve"> and caregiver nutrition knowledge are</w:t>
      </w:r>
      <w:r w:rsidR="00C04258">
        <w:t xml:space="preserve"> </w:t>
      </w:r>
      <w:r w:rsidR="00472715">
        <w:t xml:space="preserve">theoretically </w:t>
      </w:r>
      <w:r w:rsidR="00C04258">
        <w:t>meaningful</w:t>
      </w:r>
      <w:r w:rsidR="007A3C41">
        <w:t xml:space="preserve">. </w:t>
      </w:r>
      <w:r w:rsidR="00C47238">
        <w:t xml:space="preserve"> Effects smaller than these MDEs are unlikely to have any positive effects on downstream measures of children’s health (most importantly, anthropometric measurement</w:t>
      </w:r>
      <w:r w:rsidR="00CE3C66">
        <w:t>s</w:t>
      </w:r>
      <w:r w:rsidR="00C47238">
        <w:t xml:space="preserve">) and thus unlikely to be of interest from a welfare perspective; our study is thus adequately powered to detect any effect that is </w:t>
      </w:r>
      <w:r w:rsidR="001D3294">
        <w:t>meaningful from the perspective of children’s long-term health</w:t>
      </w:r>
      <w:r w:rsidR="00C04258">
        <w:t>.</w:t>
      </w:r>
      <w:r w:rsidR="00472715">
        <w:t xml:space="preserve"> Second, the MDE of </w:t>
      </w:r>
      <w:r w:rsidR="007A3C41">
        <w:t>0</w:t>
      </w:r>
      <w:r w:rsidR="002D6EDA">
        <w:t>.</w:t>
      </w:r>
      <w:r w:rsidR="00472715">
        <w:t>1</w:t>
      </w:r>
      <w:r w:rsidR="002D6EDA">
        <w:t>4</w:t>
      </w:r>
      <w:r w:rsidR="00472715">
        <w:t xml:space="preserve"> SD for height-for-age z-score is near-identical to the one reported in </w:t>
      </w:r>
      <w:r w:rsidR="00472715">
        <w:fldChar w:fldCharType="begin"/>
      </w:r>
      <w:r w:rsidR="00276EF8">
        <w:instrText xml:space="preserve"> ADDIN EN.CITE &lt;EndNote&gt;&lt;Cite AuthorYear="1"&gt;&lt;Author&gt;Bouguen&lt;/Author&gt;&lt;Year&gt;2019&lt;/Year&gt;&lt;RecNum&gt;4077&lt;/RecNum&gt;&lt;DisplayText&gt;Bouguen and Dillon (2019)&lt;/DisplayText&gt;&lt;record&gt;&lt;rec-number&gt;4077&lt;/rec-number&gt;&lt;foreign-keys&gt;&lt;key app="EN" db-id="9x0erf0zjf29fkerve3vt0te2rwzx959avzx" timestamp="1670237977"&gt;4077&lt;/key&gt;&lt;/foreign-keys&gt;&lt;ref-type name="Journal Article"&gt;17&lt;/ref-type&gt;&lt;contributors&gt;&lt;authors&gt;&lt;author&gt;Bouguen, Adrien&lt;/author&gt;&lt;author&gt;Dillon, Andrew&lt;/author&gt;&lt;/authors&gt;&lt;/contributors&gt;&lt;titles&gt;&lt;title&gt;The impact of a multidimensional program on nutrition and poverty in Burkina Faso&lt;/title&gt;&lt;secondary-title&gt;Journal of Development Economics&lt;/secondary-title&gt;&lt;/titles&gt;&lt;periodical&gt;&lt;full-title&gt;Journal of Development Economics&lt;/full-title&gt;&lt;/periodical&gt;&lt;volume&gt; Pre-results review&lt;/volume&gt;&lt;dates&gt;&lt;year&gt;2019&lt;/year&gt;&lt;/dates&gt;&lt;urls&gt;&lt;related-urls&gt;&lt;url&gt;http://jde-preresultsreview.org/#prospectivearticles&lt;/url&gt;&lt;/related-urls&gt;&lt;/urls&gt;&lt;electronic-resource-num&gt;http://jde-preresultsreview.org/#prospectivearticles&lt;/electronic-resource-num&gt;&lt;/record&gt;&lt;/Cite&gt;&lt;/EndNote&gt;</w:instrText>
      </w:r>
      <w:r w:rsidR="00472715">
        <w:fldChar w:fldCharType="separate"/>
      </w:r>
      <w:bookmarkStart w:id="42" w:name="_Hlk143952617"/>
      <w:r w:rsidR="008517EE">
        <w:rPr>
          <w:noProof/>
        </w:rPr>
        <w:t xml:space="preserve">Bouguen and Dillon </w:t>
      </w:r>
      <w:bookmarkEnd w:id="42"/>
      <w:r w:rsidR="008517EE">
        <w:rPr>
          <w:noProof/>
        </w:rPr>
        <w:t>(2019)</w:t>
      </w:r>
      <w:r w:rsidR="00472715">
        <w:fldChar w:fldCharType="end"/>
      </w:r>
      <w:r w:rsidR="001D3294">
        <w:t>,</w:t>
      </w:r>
      <w:r w:rsidR="00472715">
        <w:rPr>
          <w:rStyle w:val="FootnoteReference"/>
        </w:rPr>
        <w:footnoteReference w:id="18"/>
      </w:r>
      <w:r w:rsidR="00472715">
        <w:t xml:space="preserve"> and </w:t>
      </w:r>
      <w:r w:rsidR="001D3294">
        <w:t>is similar to the</w:t>
      </w:r>
      <w:r w:rsidR="00472715">
        <w:t xml:space="preserve"> impacts of cash transfers in previous research (see Table 4 in </w:t>
      </w:r>
      <w:r w:rsidR="00472715" w:rsidRPr="00472715">
        <w:t>Bouguen and Dillon</w:t>
      </w:r>
      <w:r w:rsidR="00472715">
        <w:t xml:space="preserve">, </w:t>
      </w:r>
      <w:r w:rsidR="00472715" w:rsidRPr="00472715">
        <w:t>2022)</w:t>
      </w:r>
      <w:r w:rsidR="00472715">
        <w:t>.</w:t>
      </w:r>
    </w:p>
    <w:p w14:paraId="47A0C4D9" w14:textId="00733D05" w:rsidR="00CD1B2B" w:rsidRDefault="00CD1B2B" w:rsidP="00CD1B2B">
      <w:r>
        <w:t>For the livelihood</w:t>
      </w:r>
      <w:r w:rsidR="00641A03">
        <w:t xml:space="preserve"> </w:t>
      </w:r>
      <w:r>
        <w:t xml:space="preserve">related </w:t>
      </w:r>
      <w:r w:rsidR="00243BD1">
        <w:t>outcomes</w:t>
      </w:r>
      <w:r>
        <w:t xml:space="preserve">, the </w:t>
      </w:r>
      <w:r w:rsidR="00384BE8">
        <w:t>main</w:t>
      </w:r>
      <w:r w:rsidR="00243BD1">
        <w:t xml:space="preserve"> analysis will pool data from the two treatment arms</w:t>
      </w:r>
      <w:r w:rsidR="00466065">
        <w:t xml:space="preserve"> vis-à-vis the control arm</w:t>
      </w:r>
      <w:r w:rsidR="00243BD1">
        <w:t>.</w:t>
      </w:r>
      <w:r w:rsidR="007A3C41">
        <w:t xml:space="preserve"> </w:t>
      </w:r>
      <w:r w:rsidR="002D6EDA">
        <w:t>Given this design, t</w:t>
      </w:r>
      <w:r w:rsidR="00243BD1">
        <w:t xml:space="preserve">he </w:t>
      </w:r>
      <w:r>
        <w:t xml:space="preserve">evaluation </w:t>
      </w:r>
      <w:proofErr w:type="gramStart"/>
      <w:r>
        <w:t>is able to</w:t>
      </w:r>
      <w:proofErr w:type="gramEnd"/>
      <w:r>
        <w:t xml:space="preserve"> </w:t>
      </w:r>
      <w:r w:rsidR="00243BD1">
        <w:t>detect</w:t>
      </w:r>
      <w:r>
        <w:t xml:space="preserve"> a</w:t>
      </w:r>
      <w:r w:rsidR="00D1084E">
        <w:t xml:space="preserve"> </w:t>
      </w:r>
      <w:r w:rsidR="008D43E0">
        <w:t>0.34-unit</w:t>
      </w:r>
      <w:r w:rsidR="00D1084E">
        <w:t xml:space="preserve"> change in </w:t>
      </w:r>
      <w:r w:rsidR="00004E9C">
        <w:t xml:space="preserve">the </w:t>
      </w:r>
      <w:r w:rsidR="00D1084E">
        <w:t>total asset index (0.22 SD). As for savings and consumption, we estimate the following MDEs:</w:t>
      </w:r>
      <w:r>
        <w:t xml:space="preserve"> </w:t>
      </w:r>
      <w:r w:rsidR="00BB239D">
        <w:t>9-percentage</w:t>
      </w:r>
      <w:r>
        <w:t xml:space="preserve"> point increase in the probability that households report any savings</w:t>
      </w:r>
      <w:r w:rsidR="00301DC6">
        <w:t xml:space="preserve"> (relative to an estimated mean probability of 47 percent in the control arm)</w:t>
      </w:r>
      <w:r w:rsidR="00243BD1">
        <w:t xml:space="preserve">, and </w:t>
      </w:r>
      <w:r w:rsidR="00605125">
        <w:t>a</w:t>
      </w:r>
      <w:r w:rsidR="00324748">
        <w:t xml:space="preserve"> 14-percent</w:t>
      </w:r>
      <w:r w:rsidR="00605125">
        <w:t xml:space="preserve"> increase in </w:t>
      </w:r>
      <w:r w:rsidR="00324748">
        <w:t>per capita</w:t>
      </w:r>
      <w:r w:rsidR="001C7F2A">
        <w:t xml:space="preserve"> </w:t>
      </w:r>
      <w:r w:rsidR="00605125">
        <w:t>consumption</w:t>
      </w:r>
      <w:r w:rsidR="00324748">
        <w:t>.</w:t>
      </w:r>
      <w:r w:rsidR="00301DC6">
        <w:t xml:space="preserve"> Relative to the effect sizes observed in </w:t>
      </w:r>
      <w:r w:rsidR="002710D0">
        <w:t xml:space="preserve">the previous trial conducted as part of </w:t>
      </w:r>
      <w:r w:rsidR="00301DC6">
        <w:t>SPIR I, the evaluation is adequately powered</w:t>
      </w:r>
      <w:r w:rsidR="00243BD1">
        <w:t xml:space="preserve"> to detect effects on savings: the </w:t>
      </w:r>
      <w:r w:rsidR="00301DC6">
        <w:t xml:space="preserve">increase in the probability of any savings </w:t>
      </w:r>
      <w:r w:rsidR="00243BD1">
        <w:t>was observed to be between</w:t>
      </w:r>
      <w:r w:rsidR="00301DC6">
        <w:t xml:space="preserve"> 25 and 30 points</w:t>
      </w:r>
      <w:r w:rsidR="00CE3C66">
        <w:t>.</w:t>
      </w:r>
      <w:r w:rsidR="00CE3C66">
        <w:rPr>
          <w:rStyle w:val="FootnoteReference"/>
        </w:rPr>
        <w:t xml:space="preserve"> </w:t>
      </w:r>
      <w:r w:rsidR="00243BD1">
        <w:t xml:space="preserve">For consumption, no significant effect of the underlying reduced graduation model on consumption was observed in SPIR I; however, in this evaluation, </w:t>
      </w:r>
      <w:r w:rsidR="007A3C41">
        <w:t>the</w:t>
      </w:r>
      <w:r w:rsidR="006C1748">
        <w:t>re</w:t>
      </w:r>
      <w:r w:rsidR="007A3C41">
        <w:t xml:space="preserve"> could be </w:t>
      </w:r>
      <w:r w:rsidR="00243BD1">
        <w:t xml:space="preserve">a direct effect of the maternal cash grants on consumption as observed at midline. </w:t>
      </w:r>
    </w:p>
    <w:p w14:paraId="54E0A5C0" w14:textId="6ECF21E5" w:rsidR="00B92DDD" w:rsidRDefault="00A97437" w:rsidP="00B75E95">
      <w:pPr>
        <w:jc w:val="left"/>
        <w:rPr>
          <w:b/>
          <w:bCs/>
        </w:rPr>
        <w:sectPr w:rsidR="00B92DDD" w:rsidSect="00A11C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bookmarkStart w:id="43" w:name="_Hlk143691107"/>
      <w:r>
        <w:lastRenderedPageBreak/>
        <w:t xml:space="preserve">The power calculations reported in Table </w:t>
      </w:r>
      <w:r w:rsidR="00E47B2A">
        <w:t>4</w:t>
      </w:r>
      <w:r>
        <w:t xml:space="preserve">a were conducted prior to the baseline survey. </w:t>
      </w:r>
      <w:r w:rsidR="00D1084E">
        <w:t xml:space="preserve">In Table </w:t>
      </w:r>
      <w:r w:rsidR="00E47B2A">
        <w:t>4</w:t>
      </w:r>
      <w:r w:rsidR="00D1084E">
        <w:t xml:space="preserve">b, we </w:t>
      </w:r>
      <w:r>
        <w:t>update</w:t>
      </w:r>
      <w:r w:rsidR="00D1084E">
        <w:t xml:space="preserve"> these power calculations using the </w:t>
      </w:r>
      <w:r w:rsidR="00831C3D">
        <w:t xml:space="preserve">2022 </w:t>
      </w:r>
      <w:r w:rsidR="00D1084E">
        <w:t xml:space="preserve">SPIR-II baseline data </w:t>
      </w:r>
      <w:r w:rsidR="0067343C">
        <w:t>for the control arm,</w:t>
      </w:r>
      <w:r w:rsidR="00D1084E">
        <w:t xml:space="preserve"> with </w:t>
      </w:r>
      <w:bookmarkStart w:id="44" w:name="_Hlk143771767"/>
      <w:r w:rsidR="00D1084E">
        <w:t>the caveat that the baseline did not (yet) measure child dietary diversity or anthropometric outcomes, nor can we control for baseline levels when estimating the adjusted SD. The MDEs relative to SDs are</w:t>
      </w:r>
      <w:r w:rsidR="00142297">
        <w:t xml:space="preserve"> generally</w:t>
      </w:r>
      <w:r w:rsidR="00D1084E">
        <w:t xml:space="preserve"> </w:t>
      </w:r>
      <w:proofErr w:type="gramStart"/>
      <w:r w:rsidR="00D1084E">
        <w:t>similar to</w:t>
      </w:r>
      <w:proofErr w:type="gramEnd"/>
      <w:r w:rsidR="00D1084E">
        <w:t xml:space="preserve"> those reported in Table </w:t>
      </w:r>
      <w:r w:rsidR="00E47B2A">
        <w:t>4</w:t>
      </w:r>
      <w:r w:rsidR="00D1084E">
        <w:t>a.</w:t>
      </w:r>
      <w:r>
        <w:t xml:space="preserve"> </w:t>
      </w:r>
      <w:r w:rsidR="00142297">
        <w:t>However, f</w:t>
      </w:r>
      <w:r>
        <w:t xml:space="preserve">or </w:t>
      </w:r>
      <w:r w:rsidR="00142297">
        <w:t xml:space="preserve">per capita </w:t>
      </w:r>
      <w:r>
        <w:t xml:space="preserve">consumption, the </w:t>
      </w:r>
      <w:r w:rsidR="008D43E0">
        <w:t>updated</w:t>
      </w:r>
      <w:r w:rsidR="00142297">
        <w:t xml:space="preserve"> power calculations suggest that we are considerably better powered</w:t>
      </w:r>
      <w:r w:rsidR="00831C3D">
        <w:t>: t</w:t>
      </w:r>
      <w:r w:rsidR="00142297">
        <w:t xml:space="preserve">he adjusted MDE indicates that we can detect a 7-percent increase in per capita consumption (instead of 14-percent as reported in Table </w:t>
      </w:r>
      <w:r w:rsidR="00E47B2A">
        <w:t>4</w:t>
      </w:r>
      <w:r w:rsidR="00142297">
        <w:t>a).</w:t>
      </w:r>
      <w:bookmarkEnd w:id="44"/>
    </w:p>
    <w:p w14:paraId="1D332AD4" w14:textId="7C7054F0" w:rsidR="00466065" w:rsidRPr="007A3C41" w:rsidRDefault="007A3C41" w:rsidP="00C20A66">
      <w:pPr>
        <w:rPr>
          <w:b/>
          <w:bCs/>
        </w:rPr>
      </w:pPr>
      <w:bookmarkStart w:id="45" w:name="_Hlk143766665"/>
      <w:r w:rsidRPr="007A3C41">
        <w:rPr>
          <w:b/>
          <w:bCs/>
        </w:rPr>
        <w:lastRenderedPageBreak/>
        <w:t xml:space="preserve">Table </w:t>
      </w:r>
      <w:r w:rsidRPr="007A3C41">
        <w:rPr>
          <w:b/>
          <w:bCs/>
        </w:rPr>
        <w:fldChar w:fldCharType="begin"/>
      </w:r>
      <w:r w:rsidRPr="007A3C41">
        <w:rPr>
          <w:b/>
          <w:bCs/>
        </w:rPr>
        <w:instrText xml:space="preserve"> SEQ Table \* ARABIC </w:instrText>
      </w:r>
      <w:r w:rsidRPr="007A3C41">
        <w:rPr>
          <w:b/>
          <w:bCs/>
        </w:rPr>
        <w:fldChar w:fldCharType="separate"/>
      </w:r>
      <w:r w:rsidR="00F534DC">
        <w:rPr>
          <w:b/>
          <w:bCs/>
          <w:noProof/>
        </w:rPr>
        <w:t>4</w:t>
      </w:r>
      <w:r w:rsidRPr="007A3C41">
        <w:rPr>
          <w:b/>
          <w:bCs/>
          <w:noProof/>
        </w:rPr>
        <w:fldChar w:fldCharType="end"/>
      </w:r>
      <w:r w:rsidR="00FB5EE8">
        <w:rPr>
          <w:b/>
          <w:bCs/>
          <w:noProof/>
        </w:rPr>
        <w:t>a</w:t>
      </w:r>
      <w:r w:rsidRPr="007A3C41">
        <w:rPr>
          <w:b/>
          <w:bCs/>
        </w:rPr>
        <w:t xml:space="preserve">. </w:t>
      </w:r>
      <w:bookmarkStart w:id="46" w:name="_Hlk143693301"/>
      <w:r w:rsidRPr="007A3C41">
        <w:rPr>
          <w:b/>
          <w:bCs/>
        </w:rPr>
        <w:t>Power calculations</w:t>
      </w:r>
      <w:bookmarkEnd w:id="46"/>
      <w:r w:rsidR="00B85271">
        <w:rPr>
          <w:b/>
          <w:bCs/>
        </w:rPr>
        <w:t xml:space="preserve"> based on SPIR-</w:t>
      </w:r>
      <w:r w:rsidR="00D1084E">
        <w:rPr>
          <w:b/>
          <w:bCs/>
        </w:rPr>
        <w:t>I</w:t>
      </w:r>
      <w:r w:rsidR="00B85271">
        <w:rPr>
          <w:b/>
          <w:bCs/>
        </w:rPr>
        <w:t xml:space="preserve"> </w:t>
      </w:r>
      <w:r w:rsidR="00DE0F51">
        <w:rPr>
          <w:b/>
          <w:bCs/>
        </w:rPr>
        <w:t xml:space="preserve">endline </w:t>
      </w:r>
      <w:proofErr w:type="gramStart"/>
      <w:r w:rsidR="00B85271">
        <w:rPr>
          <w:b/>
          <w:bCs/>
        </w:rPr>
        <w:t>data</w:t>
      </w:r>
      <w:proofErr w:type="gramEnd"/>
    </w:p>
    <w:tbl>
      <w:tblPr>
        <w:tblW w:w="13475" w:type="dxa"/>
        <w:tblLayout w:type="fixed"/>
        <w:tblLook w:val="04A0" w:firstRow="1" w:lastRow="0" w:firstColumn="1" w:lastColumn="0" w:noHBand="0" w:noVBand="1"/>
      </w:tblPr>
      <w:tblGrid>
        <w:gridCol w:w="3261"/>
        <w:gridCol w:w="1702"/>
        <w:gridCol w:w="1702"/>
        <w:gridCol w:w="1703"/>
        <w:gridCol w:w="1702"/>
        <w:gridCol w:w="1702"/>
        <w:gridCol w:w="1703"/>
      </w:tblGrid>
      <w:tr w:rsidR="00F643D2" w:rsidRPr="00035EB4" w14:paraId="14C9C23B" w14:textId="77777777" w:rsidTr="00B75E95">
        <w:trPr>
          <w:trHeight w:val="567"/>
        </w:trPr>
        <w:tc>
          <w:tcPr>
            <w:tcW w:w="3261" w:type="dxa"/>
            <w:tcBorders>
              <w:top w:val="single" w:sz="12" w:space="0" w:color="auto"/>
              <w:left w:val="nil"/>
              <w:bottom w:val="single" w:sz="4" w:space="0" w:color="auto"/>
              <w:right w:val="single" w:sz="4" w:space="0" w:color="auto"/>
            </w:tcBorders>
            <w:shd w:val="clear" w:color="auto" w:fill="auto"/>
            <w:noWrap/>
            <w:vAlign w:val="center"/>
          </w:tcPr>
          <w:p w14:paraId="590B3188" w14:textId="77777777" w:rsidR="00F643D2" w:rsidRPr="00035EB4" w:rsidRDefault="00F643D2" w:rsidP="00F643D2">
            <w:pPr>
              <w:spacing w:before="0" w:after="0" w:line="240" w:lineRule="auto"/>
              <w:jc w:val="left"/>
              <w:rPr>
                <w:rFonts w:eastAsia="Times New Roman" w:cs="Arial"/>
                <w:color w:val="000000"/>
                <w:szCs w:val="20"/>
              </w:rPr>
            </w:pPr>
          </w:p>
        </w:tc>
        <w:tc>
          <w:tcPr>
            <w:tcW w:w="510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57BD5E4A" w14:textId="0B6CB4EE" w:rsidR="00F643D2" w:rsidRPr="00035EB4" w:rsidRDefault="00F643D2" w:rsidP="00F643D2">
            <w:pPr>
              <w:spacing w:before="0" w:after="0" w:line="240" w:lineRule="auto"/>
              <w:jc w:val="center"/>
              <w:rPr>
                <w:rFonts w:eastAsia="Times New Roman" w:cs="Arial"/>
                <w:b/>
                <w:bCs/>
                <w:color w:val="000000"/>
                <w:szCs w:val="20"/>
              </w:rPr>
            </w:pPr>
            <w:r>
              <w:rPr>
                <w:rFonts w:eastAsia="Times New Roman" w:cs="Arial"/>
                <w:b/>
                <w:bCs/>
                <w:color w:val="000000"/>
                <w:szCs w:val="20"/>
              </w:rPr>
              <w:t>Nutrition outcomes</w:t>
            </w:r>
          </w:p>
        </w:tc>
        <w:tc>
          <w:tcPr>
            <w:tcW w:w="5107" w:type="dxa"/>
            <w:gridSpan w:val="3"/>
            <w:tcBorders>
              <w:top w:val="single" w:sz="12" w:space="0" w:color="auto"/>
              <w:left w:val="single" w:sz="4" w:space="0" w:color="auto"/>
              <w:bottom w:val="single" w:sz="4" w:space="0" w:color="auto"/>
              <w:right w:val="nil"/>
            </w:tcBorders>
            <w:vAlign w:val="center"/>
          </w:tcPr>
          <w:p w14:paraId="4292CCDB" w14:textId="0B062D46" w:rsidR="00F643D2" w:rsidRPr="00035EB4" w:rsidRDefault="00F643D2" w:rsidP="00F643D2">
            <w:pPr>
              <w:spacing w:before="0" w:after="0" w:line="240" w:lineRule="auto"/>
              <w:jc w:val="center"/>
              <w:rPr>
                <w:rFonts w:cs="Arial"/>
                <w:b/>
                <w:bCs/>
                <w:color w:val="000000"/>
                <w:szCs w:val="20"/>
              </w:rPr>
            </w:pPr>
            <w:r>
              <w:rPr>
                <w:rFonts w:cs="Arial"/>
                <w:b/>
                <w:bCs/>
                <w:color w:val="000000"/>
                <w:szCs w:val="20"/>
              </w:rPr>
              <w:t>Livelihood outcomes</w:t>
            </w:r>
          </w:p>
        </w:tc>
      </w:tr>
      <w:tr w:rsidR="00F643D2" w:rsidRPr="00035EB4" w14:paraId="3BB9D1B2" w14:textId="77777777" w:rsidTr="00B75E95">
        <w:trPr>
          <w:trHeight w:val="1394"/>
        </w:trPr>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18B2E8DA" w14:textId="77777777" w:rsidR="00B92DDD" w:rsidRPr="00035EB4" w:rsidRDefault="00B92DDD" w:rsidP="001C7F2A">
            <w:pPr>
              <w:spacing w:before="0" w:after="0" w:line="240" w:lineRule="auto"/>
              <w:jc w:val="left"/>
              <w:rPr>
                <w:rFonts w:eastAsia="Times New Roman" w:cs="Arial"/>
                <w:color w:val="000000"/>
                <w:szCs w:val="20"/>
              </w:rPr>
            </w:pPr>
            <w:r w:rsidRPr="00035EB4">
              <w:rPr>
                <w:rFonts w:eastAsia="Times New Roman" w:cs="Arial"/>
                <w:color w:val="000000"/>
                <w:szCs w:val="20"/>
              </w:rPr>
              <w:t> </w:t>
            </w:r>
          </w:p>
        </w:tc>
        <w:tc>
          <w:tcPr>
            <w:tcW w:w="1702" w:type="dxa"/>
            <w:tcBorders>
              <w:top w:val="single" w:sz="4" w:space="0" w:color="auto"/>
              <w:left w:val="single" w:sz="4" w:space="0" w:color="auto"/>
              <w:bottom w:val="single" w:sz="4" w:space="0" w:color="auto"/>
              <w:right w:val="nil"/>
            </w:tcBorders>
            <w:shd w:val="clear" w:color="auto" w:fill="auto"/>
            <w:vAlign w:val="bottom"/>
            <w:hideMark/>
          </w:tcPr>
          <w:p w14:paraId="229BB8A8" w14:textId="77777777" w:rsidR="00B92DDD" w:rsidRPr="00035EB4" w:rsidRDefault="00B92DDD" w:rsidP="00F643D2">
            <w:pPr>
              <w:spacing w:before="0" w:after="0" w:line="240" w:lineRule="auto"/>
              <w:jc w:val="center"/>
              <w:rPr>
                <w:rFonts w:eastAsia="Times New Roman" w:cs="Arial"/>
                <w:b/>
                <w:bCs/>
                <w:color w:val="000000"/>
                <w:szCs w:val="20"/>
              </w:rPr>
            </w:pPr>
            <w:r w:rsidRPr="00035EB4">
              <w:rPr>
                <w:rFonts w:eastAsia="Times New Roman" w:cs="Arial"/>
                <w:b/>
                <w:bCs/>
                <w:color w:val="000000"/>
                <w:szCs w:val="20"/>
              </w:rPr>
              <w:t>Caregiver IYCF knowledge</w:t>
            </w:r>
          </w:p>
        </w:tc>
        <w:tc>
          <w:tcPr>
            <w:tcW w:w="1702" w:type="dxa"/>
            <w:tcBorders>
              <w:top w:val="single" w:sz="4" w:space="0" w:color="auto"/>
              <w:left w:val="nil"/>
              <w:bottom w:val="single" w:sz="4" w:space="0" w:color="auto"/>
              <w:right w:val="nil"/>
            </w:tcBorders>
            <w:shd w:val="clear" w:color="auto" w:fill="auto"/>
            <w:vAlign w:val="bottom"/>
            <w:hideMark/>
          </w:tcPr>
          <w:p w14:paraId="7AAAB979" w14:textId="445D4220" w:rsidR="00B92DDD" w:rsidRPr="00035EB4" w:rsidRDefault="00B92DDD" w:rsidP="00F643D2">
            <w:pPr>
              <w:spacing w:before="0" w:after="0" w:line="240" w:lineRule="auto"/>
              <w:jc w:val="center"/>
              <w:rPr>
                <w:rFonts w:eastAsia="Times New Roman" w:cs="Arial"/>
                <w:b/>
                <w:bCs/>
                <w:color w:val="000000"/>
                <w:szCs w:val="20"/>
              </w:rPr>
            </w:pPr>
            <w:r w:rsidRPr="00035EB4">
              <w:rPr>
                <w:rFonts w:eastAsia="Times New Roman" w:cs="Arial"/>
                <w:b/>
                <w:bCs/>
                <w:color w:val="000000"/>
                <w:szCs w:val="20"/>
              </w:rPr>
              <w:t>Number of</w:t>
            </w:r>
          </w:p>
          <w:p w14:paraId="4B07C71E" w14:textId="64391B7F" w:rsidR="00B92DDD" w:rsidRPr="00035EB4" w:rsidRDefault="00B92DDD" w:rsidP="00F643D2">
            <w:pPr>
              <w:spacing w:before="0" w:after="0" w:line="240" w:lineRule="auto"/>
              <w:jc w:val="center"/>
              <w:rPr>
                <w:rFonts w:eastAsia="Times New Roman" w:cs="Arial"/>
                <w:b/>
                <w:bCs/>
                <w:color w:val="000000"/>
                <w:szCs w:val="20"/>
              </w:rPr>
            </w:pPr>
            <w:r w:rsidRPr="00035EB4">
              <w:rPr>
                <w:rFonts w:eastAsia="Times New Roman" w:cs="Arial"/>
                <w:b/>
                <w:bCs/>
                <w:color w:val="000000"/>
                <w:szCs w:val="20"/>
              </w:rPr>
              <w:t>food groups consumed (children 6–23 months)</w:t>
            </w:r>
          </w:p>
        </w:tc>
        <w:tc>
          <w:tcPr>
            <w:tcW w:w="1703" w:type="dxa"/>
            <w:tcBorders>
              <w:top w:val="single" w:sz="4" w:space="0" w:color="auto"/>
              <w:left w:val="nil"/>
              <w:bottom w:val="single" w:sz="4" w:space="0" w:color="auto"/>
              <w:right w:val="single" w:sz="4" w:space="0" w:color="auto"/>
            </w:tcBorders>
            <w:shd w:val="clear" w:color="auto" w:fill="auto"/>
            <w:vAlign w:val="bottom"/>
            <w:hideMark/>
          </w:tcPr>
          <w:p w14:paraId="046EABAF" w14:textId="011480FD" w:rsidR="00B92DDD" w:rsidRPr="00035EB4" w:rsidRDefault="00B92DDD" w:rsidP="00F643D2">
            <w:pPr>
              <w:spacing w:before="0" w:after="0" w:line="240" w:lineRule="auto"/>
              <w:jc w:val="center"/>
              <w:rPr>
                <w:rFonts w:eastAsia="Times New Roman" w:cs="Arial"/>
                <w:b/>
                <w:bCs/>
                <w:color w:val="000000"/>
                <w:szCs w:val="20"/>
              </w:rPr>
            </w:pPr>
            <w:r w:rsidRPr="00035EB4">
              <w:rPr>
                <w:rFonts w:eastAsia="Times New Roman" w:cs="Arial"/>
                <w:b/>
                <w:bCs/>
                <w:color w:val="000000"/>
                <w:szCs w:val="20"/>
              </w:rPr>
              <w:t>Height-for-age (children 30-48 months)</w:t>
            </w:r>
          </w:p>
        </w:tc>
        <w:tc>
          <w:tcPr>
            <w:tcW w:w="1702" w:type="dxa"/>
            <w:tcBorders>
              <w:top w:val="single" w:sz="4" w:space="0" w:color="auto"/>
              <w:left w:val="single" w:sz="4" w:space="0" w:color="auto"/>
              <w:bottom w:val="single" w:sz="4" w:space="0" w:color="auto"/>
              <w:right w:val="nil"/>
            </w:tcBorders>
            <w:vAlign w:val="bottom"/>
          </w:tcPr>
          <w:p w14:paraId="5A3E18C5" w14:textId="6987B0A5" w:rsidR="00B92DDD" w:rsidRPr="00F643D2" w:rsidRDefault="00B92DDD" w:rsidP="00F643D2">
            <w:pPr>
              <w:spacing w:before="0" w:after="0" w:line="240" w:lineRule="auto"/>
              <w:jc w:val="center"/>
              <w:rPr>
                <w:rFonts w:eastAsia="Times New Roman" w:cs="Arial"/>
                <w:b/>
                <w:bCs/>
                <w:color w:val="000000"/>
                <w:szCs w:val="20"/>
              </w:rPr>
            </w:pPr>
            <w:r w:rsidRPr="00F643D2">
              <w:rPr>
                <w:rFonts w:eastAsia="Times New Roman" w:cs="Arial"/>
                <w:b/>
                <w:bCs/>
                <w:color w:val="000000"/>
                <w:szCs w:val="20"/>
              </w:rPr>
              <w:t>Total asset index</w:t>
            </w:r>
          </w:p>
        </w:tc>
        <w:tc>
          <w:tcPr>
            <w:tcW w:w="1702" w:type="dxa"/>
            <w:tcBorders>
              <w:top w:val="single" w:sz="4" w:space="0" w:color="auto"/>
              <w:left w:val="nil"/>
              <w:bottom w:val="single" w:sz="4" w:space="0" w:color="auto"/>
              <w:right w:val="nil"/>
            </w:tcBorders>
            <w:shd w:val="clear" w:color="auto" w:fill="auto"/>
            <w:vAlign w:val="bottom"/>
            <w:hideMark/>
          </w:tcPr>
          <w:p w14:paraId="24BD0DA0" w14:textId="3715CBF4" w:rsidR="00B92DDD" w:rsidRPr="00035EB4" w:rsidRDefault="00B92DDD" w:rsidP="00F643D2">
            <w:pPr>
              <w:spacing w:before="0" w:after="0" w:line="240" w:lineRule="auto"/>
              <w:jc w:val="center"/>
              <w:rPr>
                <w:rFonts w:eastAsia="Times New Roman" w:cs="Arial"/>
                <w:b/>
                <w:bCs/>
                <w:color w:val="000000"/>
                <w:szCs w:val="20"/>
              </w:rPr>
            </w:pPr>
            <w:r w:rsidRPr="00035EB4">
              <w:rPr>
                <w:rFonts w:eastAsia="Times New Roman" w:cs="Arial"/>
                <w:b/>
                <w:bCs/>
                <w:color w:val="000000"/>
                <w:szCs w:val="20"/>
              </w:rPr>
              <w:t>Household savings, binary</w:t>
            </w:r>
          </w:p>
        </w:tc>
        <w:tc>
          <w:tcPr>
            <w:tcW w:w="1703" w:type="dxa"/>
            <w:tcBorders>
              <w:top w:val="single" w:sz="4" w:space="0" w:color="auto"/>
              <w:left w:val="nil"/>
              <w:bottom w:val="single" w:sz="4" w:space="0" w:color="auto"/>
              <w:right w:val="nil"/>
            </w:tcBorders>
            <w:shd w:val="clear" w:color="auto" w:fill="auto"/>
            <w:vAlign w:val="bottom"/>
            <w:hideMark/>
          </w:tcPr>
          <w:p w14:paraId="03C07DAF" w14:textId="7403AE18" w:rsidR="00B92DDD" w:rsidRPr="00035EB4" w:rsidRDefault="00B92DDD" w:rsidP="00F643D2">
            <w:pPr>
              <w:spacing w:before="0" w:after="0" w:line="240" w:lineRule="auto"/>
              <w:jc w:val="center"/>
              <w:rPr>
                <w:rFonts w:eastAsia="Times New Roman" w:cs="Arial"/>
                <w:b/>
                <w:bCs/>
                <w:color w:val="000000"/>
                <w:szCs w:val="20"/>
              </w:rPr>
            </w:pPr>
            <w:r w:rsidRPr="00035EB4">
              <w:rPr>
                <w:rFonts w:cs="Arial"/>
                <w:b/>
                <w:bCs/>
                <w:color w:val="000000"/>
                <w:szCs w:val="20"/>
              </w:rPr>
              <w:t xml:space="preserve">Log per capita consumption </w:t>
            </w:r>
          </w:p>
        </w:tc>
      </w:tr>
      <w:tr w:rsidR="00771502" w:rsidRPr="00035EB4" w14:paraId="6DF90F29" w14:textId="77777777" w:rsidTr="00B75E95">
        <w:trPr>
          <w:trHeight w:val="398"/>
        </w:trPr>
        <w:tc>
          <w:tcPr>
            <w:tcW w:w="3261" w:type="dxa"/>
            <w:tcBorders>
              <w:top w:val="nil"/>
              <w:left w:val="nil"/>
              <w:bottom w:val="nil"/>
              <w:right w:val="single" w:sz="4" w:space="0" w:color="auto"/>
            </w:tcBorders>
            <w:shd w:val="clear" w:color="auto" w:fill="auto"/>
            <w:noWrap/>
            <w:vAlign w:val="center"/>
            <w:hideMark/>
          </w:tcPr>
          <w:p w14:paraId="0F42341E" w14:textId="77777777"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Control clusters</w:t>
            </w:r>
          </w:p>
        </w:tc>
        <w:tc>
          <w:tcPr>
            <w:tcW w:w="1702" w:type="dxa"/>
            <w:tcBorders>
              <w:top w:val="nil"/>
              <w:left w:val="single" w:sz="4" w:space="0" w:color="auto"/>
              <w:bottom w:val="nil"/>
              <w:right w:val="nil"/>
            </w:tcBorders>
            <w:shd w:val="clear" w:color="auto" w:fill="auto"/>
            <w:noWrap/>
            <w:vAlign w:val="center"/>
            <w:hideMark/>
          </w:tcPr>
          <w:p w14:paraId="79D60B0F"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79</w:t>
            </w:r>
          </w:p>
        </w:tc>
        <w:tc>
          <w:tcPr>
            <w:tcW w:w="1702" w:type="dxa"/>
            <w:tcBorders>
              <w:top w:val="nil"/>
              <w:left w:val="nil"/>
              <w:bottom w:val="nil"/>
              <w:right w:val="nil"/>
            </w:tcBorders>
            <w:shd w:val="clear" w:color="auto" w:fill="auto"/>
            <w:noWrap/>
            <w:vAlign w:val="center"/>
            <w:hideMark/>
          </w:tcPr>
          <w:p w14:paraId="23732614"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79</w:t>
            </w:r>
          </w:p>
        </w:tc>
        <w:tc>
          <w:tcPr>
            <w:tcW w:w="1703" w:type="dxa"/>
            <w:tcBorders>
              <w:top w:val="nil"/>
              <w:left w:val="nil"/>
              <w:bottom w:val="nil"/>
              <w:right w:val="single" w:sz="4" w:space="0" w:color="auto"/>
            </w:tcBorders>
            <w:shd w:val="clear" w:color="auto" w:fill="auto"/>
            <w:noWrap/>
            <w:vAlign w:val="center"/>
            <w:hideMark/>
          </w:tcPr>
          <w:p w14:paraId="138888D6" w14:textId="77777777"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79</w:t>
            </w:r>
          </w:p>
        </w:tc>
        <w:tc>
          <w:tcPr>
            <w:tcW w:w="1702" w:type="dxa"/>
            <w:tcBorders>
              <w:top w:val="nil"/>
              <w:left w:val="single" w:sz="4" w:space="0" w:color="auto"/>
              <w:bottom w:val="nil"/>
              <w:right w:val="nil"/>
            </w:tcBorders>
            <w:vAlign w:val="center"/>
          </w:tcPr>
          <w:p w14:paraId="5FB1AFD4" w14:textId="21CCBE2E" w:rsidR="00771502" w:rsidRPr="00F643D2" w:rsidRDefault="00771502" w:rsidP="00771502">
            <w:pPr>
              <w:spacing w:before="0" w:after="0" w:line="240" w:lineRule="auto"/>
              <w:jc w:val="center"/>
              <w:rPr>
                <w:rFonts w:eastAsia="Times New Roman" w:cs="Arial"/>
                <w:szCs w:val="20"/>
              </w:rPr>
            </w:pPr>
            <w:r w:rsidRPr="00F643D2">
              <w:rPr>
                <w:rFonts w:cs="Arial"/>
                <w:color w:val="000000"/>
                <w:szCs w:val="20"/>
              </w:rPr>
              <w:t>79</w:t>
            </w:r>
          </w:p>
        </w:tc>
        <w:tc>
          <w:tcPr>
            <w:tcW w:w="1702" w:type="dxa"/>
            <w:tcBorders>
              <w:top w:val="nil"/>
              <w:left w:val="nil"/>
              <w:bottom w:val="nil"/>
              <w:right w:val="nil"/>
            </w:tcBorders>
            <w:shd w:val="clear" w:color="auto" w:fill="auto"/>
            <w:noWrap/>
            <w:vAlign w:val="center"/>
            <w:hideMark/>
          </w:tcPr>
          <w:p w14:paraId="77F63CBA" w14:textId="1B492233"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79</w:t>
            </w:r>
          </w:p>
        </w:tc>
        <w:tc>
          <w:tcPr>
            <w:tcW w:w="1703" w:type="dxa"/>
            <w:tcBorders>
              <w:top w:val="nil"/>
              <w:left w:val="nil"/>
              <w:bottom w:val="nil"/>
              <w:right w:val="nil"/>
            </w:tcBorders>
            <w:shd w:val="clear" w:color="auto" w:fill="auto"/>
            <w:noWrap/>
            <w:vAlign w:val="center"/>
            <w:hideMark/>
          </w:tcPr>
          <w:p w14:paraId="3C84943F" w14:textId="4C3ACC39" w:rsidR="00771502" w:rsidRPr="00771502" w:rsidRDefault="00771502" w:rsidP="00771502">
            <w:pPr>
              <w:spacing w:before="0" w:after="0" w:line="240" w:lineRule="auto"/>
              <w:jc w:val="center"/>
              <w:rPr>
                <w:rFonts w:eastAsia="Times New Roman" w:cs="Arial"/>
                <w:szCs w:val="20"/>
              </w:rPr>
            </w:pPr>
            <w:r w:rsidRPr="00B75E95">
              <w:rPr>
                <w:rFonts w:cs="Arial"/>
              </w:rPr>
              <w:t>79</w:t>
            </w:r>
          </w:p>
        </w:tc>
      </w:tr>
      <w:tr w:rsidR="00771502" w:rsidRPr="00035EB4" w14:paraId="094BC5BE" w14:textId="77777777" w:rsidTr="00B75E95">
        <w:trPr>
          <w:trHeight w:val="398"/>
        </w:trPr>
        <w:tc>
          <w:tcPr>
            <w:tcW w:w="3261" w:type="dxa"/>
            <w:tcBorders>
              <w:top w:val="nil"/>
              <w:left w:val="nil"/>
              <w:bottom w:val="nil"/>
              <w:right w:val="single" w:sz="4" w:space="0" w:color="auto"/>
            </w:tcBorders>
            <w:shd w:val="clear" w:color="auto" w:fill="auto"/>
            <w:noWrap/>
            <w:vAlign w:val="center"/>
            <w:hideMark/>
          </w:tcPr>
          <w:p w14:paraId="112F978A" w14:textId="77777777"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 xml:space="preserve">Treatment clusters </w:t>
            </w:r>
            <w:r w:rsidRPr="00035EB4">
              <w:rPr>
                <w:rFonts w:eastAsia="Times New Roman" w:cs="Arial"/>
                <w:color w:val="000000"/>
                <w:szCs w:val="20"/>
                <w:vertAlign w:val="superscript"/>
              </w:rPr>
              <w:t>1)</w:t>
            </w:r>
          </w:p>
        </w:tc>
        <w:tc>
          <w:tcPr>
            <w:tcW w:w="1702" w:type="dxa"/>
            <w:tcBorders>
              <w:top w:val="nil"/>
              <w:left w:val="single" w:sz="4" w:space="0" w:color="auto"/>
              <w:bottom w:val="nil"/>
              <w:right w:val="nil"/>
            </w:tcBorders>
            <w:shd w:val="clear" w:color="auto" w:fill="auto"/>
            <w:noWrap/>
            <w:vAlign w:val="center"/>
            <w:hideMark/>
          </w:tcPr>
          <w:p w14:paraId="69D550B0"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79</w:t>
            </w:r>
          </w:p>
        </w:tc>
        <w:tc>
          <w:tcPr>
            <w:tcW w:w="1702" w:type="dxa"/>
            <w:tcBorders>
              <w:top w:val="nil"/>
              <w:left w:val="nil"/>
              <w:bottom w:val="nil"/>
              <w:right w:val="nil"/>
            </w:tcBorders>
            <w:shd w:val="clear" w:color="auto" w:fill="auto"/>
            <w:noWrap/>
            <w:vAlign w:val="center"/>
            <w:hideMark/>
          </w:tcPr>
          <w:p w14:paraId="37855BAF"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79</w:t>
            </w:r>
          </w:p>
        </w:tc>
        <w:tc>
          <w:tcPr>
            <w:tcW w:w="1703" w:type="dxa"/>
            <w:tcBorders>
              <w:top w:val="nil"/>
              <w:left w:val="nil"/>
              <w:bottom w:val="nil"/>
              <w:right w:val="single" w:sz="4" w:space="0" w:color="auto"/>
            </w:tcBorders>
            <w:shd w:val="clear" w:color="auto" w:fill="auto"/>
            <w:noWrap/>
            <w:vAlign w:val="center"/>
            <w:hideMark/>
          </w:tcPr>
          <w:p w14:paraId="121B2A0F" w14:textId="77777777"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79</w:t>
            </w:r>
          </w:p>
        </w:tc>
        <w:tc>
          <w:tcPr>
            <w:tcW w:w="1702" w:type="dxa"/>
            <w:tcBorders>
              <w:top w:val="nil"/>
              <w:left w:val="single" w:sz="4" w:space="0" w:color="auto"/>
              <w:bottom w:val="nil"/>
              <w:right w:val="nil"/>
            </w:tcBorders>
            <w:vAlign w:val="center"/>
          </w:tcPr>
          <w:p w14:paraId="7E890DD4" w14:textId="4E78C138" w:rsidR="00771502" w:rsidRPr="00F643D2" w:rsidRDefault="00771502" w:rsidP="00771502">
            <w:pPr>
              <w:spacing w:before="0" w:after="0" w:line="240" w:lineRule="auto"/>
              <w:jc w:val="center"/>
              <w:rPr>
                <w:rFonts w:eastAsia="Times New Roman" w:cs="Arial"/>
                <w:szCs w:val="20"/>
              </w:rPr>
            </w:pPr>
            <w:r w:rsidRPr="00F643D2">
              <w:rPr>
                <w:rFonts w:cs="Arial"/>
                <w:color w:val="000000"/>
                <w:szCs w:val="20"/>
              </w:rPr>
              <w:t>158</w:t>
            </w:r>
          </w:p>
        </w:tc>
        <w:tc>
          <w:tcPr>
            <w:tcW w:w="1702" w:type="dxa"/>
            <w:tcBorders>
              <w:top w:val="nil"/>
              <w:left w:val="nil"/>
              <w:bottom w:val="nil"/>
              <w:right w:val="nil"/>
            </w:tcBorders>
            <w:shd w:val="clear" w:color="auto" w:fill="auto"/>
            <w:noWrap/>
            <w:vAlign w:val="center"/>
            <w:hideMark/>
          </w:tcPr>
          <w:p w14:paraId="372940FD" w14:textId="3EB345C9"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158</w:t>
            </w:r>
          </w:p>
        </w:tc>
        <w:tc>
          <w:tcPr>
            <w:tcW w:w="1703" w:type="dxa"/>
            <w:tcBorders>
              <w:top w:val="nil"/>
              <w:left w:val="nil"/>
              <w:bottom w:val="nil"/>
              <w:right w:val="nil"/>
            </w:tcBorders>
            <w:shd w:val="clear" w:color="auto" w:fill="auto"/>
            <w:noWrap/>
            <w:vAlign w:val="center"/>
            <w:hideMark/>
          </w:tcPr>
          <w:p w14:paraId="44AF04F3" w14:textId="06B98A24" w:rsidR="00771502" w:rsidRPr="00771502" w:rsidRDefault="00771502" w:rsidP="00771502">
            <w:pPr>
              <w:spacing w:before="0" w:after="0" w:line="240" w:lineRule="auto"/>
              <w:jc w:val="center"/>
              <w:rPr>
                <w:rFonts w:eastAsia="Times New Roman" w:cs="Arial"/>
                <w:szCs w:val="20"/>
              </w:rPr>
            </w:pPr>
            <w:r w:rsidRPr="00B75E95">
              <w:rPr>
                <w:rFonts w:cs="Arial"/>
              </w:rPr>
              <w:t>158</w:t>
            </w:r>
          </w:p>
        </w:tc>
      </w:tr>
      <w:tr w:rsidR="00771502" w:rsidRPr="00035EB4" w14:paraId="5A2E2B6A" w14:textId="77777777" w:rsidTr="00B75E95">
        <w:trPr>
          <w:trHeight w:val="398"/>
        </w:trPr>
        <w:tc>
          <w:tcPr>
            <w:tcW w:w="3261" w:type="dxa"/>
            <w:tcBorders>
              <w:top w:val="nil"/>
              <w:left w:val="nil"/>
              <w:bottom w:val="nil"/>
              <w:right w:val="single" w:sz="4" w:space="0" w:color="auto"/>
            </w:tcBorders>
            <w:shd w:val="clear" w:color="auto" w:fill="auto"/>
            <w:noWrap/>
            <w:vAlign w:val="center"/>
            <w:hideMark/>
          </w:tcPr>
          <w:p w14:paraId="69A9DCDF" w14:textId="77777777"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Baseline mean</w:t>
            </w:r>
          </w:p>
        </w:tc>
        <w:tc>
          <w:tcPr>
            <w:tcW w:w="1702" w:type="dxa"/>
            <w:tcBorders>
              <w:top w:val="nil"/>
              <w:left w:val="single" w:sz="4" w:space="0" w:color="auto"/>
              <w:bottom w:val="nil"/>
              <w:right w:val="nil"/>
            </w:tcBorders>
            <w:shd w:val="clear" w:color="auto" w:fill="auto"/>
            <w:noWrap/>
            <w:vAlign w:val="center"/>
            <w:hideMark/>
          </w:tcPr>
          <w:p w14:paraId="348B5198"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3.9</w:t>
            </w:r>
          </w:p>
        </w:tc>
        <w:tc>
          <w:tcPr>
            <w:tcW w:w="1702" w:type="dxa"/>
            <w:tcBorders>
              <w:top w:val="nil"/>
              <w:left w:val="nil"/>
              <w:bottom w:val="nil"/>
              <w:right w:val="nil"/>
            </w:tcBorders>
            <w:shd w:val="clear" w:color="auto" w:fill="auto"/>
            <w:noWrap/>
            <w:vAlign w:val="center"/>
            <w:hideMark/>
          </w:tcPr>
          <w:p w14:paraId="5FC6145A"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1.9</w:t>
            </w:r>
          </w:p>
        </w:tc>
        <w:tc>
          <w:tcPr>
            <w:tcW w:w="1703" w:type="dxa"/>
            <w:tcBorders>
              <w:top w:val="nil"/>
              <w:left w:val="nil"/>
              <w:bottom w:val="nil"/>
              <w:right w:val="single" w:sz="4" w:space="0" w:color="auto"/>
            </w:tcBorders>
            <w:shd w:val="clear" w:color="auto" w:fill="auto"/>
            <w:noWrap/>
            <w:vAlign w:val="center"/>
            <w:hideMark/>
          </w:tcPr>
          <w:p w14:paraId="4D079C42" w14:textId="77777777"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-2.07</w:t>
            </w:r>
          </w:p>
        </w:tc>
        <w:tc>
          <w:tcPr>
            <w:tcW w:w="1702" w:type="dxa"/>
            <w:tcBorders>
              <w:top w:val="nil"/>
              <w:left w:val="single" w:sz="4" w:space="0" w:color="auto"/>
              <w:bottom w:val="nil"/>
              <w:right w:val="nil"/>
            </w:tcBorders>
            <w:vAlign w:val="center"/>
          </w:tcPr>
          <w:p w14:paraId="576CA2E3" w14:textId="09996BE5" w:rsidR="00771502" w:rsidRPr="00F643D2" w:rsidRDefault="00771502" w:rsidP="00771502">
            <w:pPr>
              <w:spacing w:before="0" w:after="0" w:line="240" w:lineRule="auto"/>
              <w:jc w:val="center"/>
              <w:rPr>
                <w:rFonts w:eastAsia="Times New Roman" w:cs="Arial"/>
                <w:szCs w:val="20"/>
              </w:rPr>
            </w:pPr>
            <w:r w:rsidRPr="00B75E95">
              <w:rPr>
                <w:rFonts w:cs="Arial"/>
                <w:color w:val="000000"/>
                <w:szCs w:val="20"/>
              </w:rPr>
              <w:t>-0.14</w:t>
            </w:r>
          </w:p>
        </w:tc>
        <w:tc>
          <w:tcPr>
            <w:tcW w:w="1702" w:type="dxa"/>
            <w:tcBorders>
              <w:top w:val="nil"/>
              <w:left w:val="nil"/>
              <w:bottom w:val="nil"/>
              <w:right w:val="nil"/>
            </w:tcBorders>
            <w:shd w:val="clear" w:color="auto" w:fill="auto"/>
            <w:noWrap/>
            <w:vAlign w:val="center"/>
            <w:hideMark/>
          </w:tcPr>
          <w:p w14:paraId="38026878" w14:textId="6AE467BD"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0.45</w:t>
            </w:r>
          </w:p>
        </w:tc>
        <w:tc>
          <w:tcPr>
            <w:tcW w:w="1703" w:type="dxa"/>
            <w:tcBorders>
              <w:top w:val="nil"/>
              <w:left w:val="nil"/>
              <w:bottom w:val="nil"/>
              <w:right w:val="nil"/>
            </w:tcBorders>
            <w:shd w:val="clear" w:color="auto" w:fill="auto"/>
            <w:noWrap/>
            <w:vAlign w:val="center"/>
            <w:hideMark/>
          </w:tcPr>
          <w:p w14:paraId="4F6E8AED" w14:textId="16F53BFB" w:rsidR="00771502" w:rsidRPr="00771502" w:rsidRDefault="00771502" w:rsidP="00771502">
            <w:pPr>
              <w:spacing w:before="0" w:after="0" w:line="240" w:lineRule="auto"/>
              <w:jc w:val="center"/>
              <w:rPr>
                <w:rFonts w:eastAsia="Times New Roman" w:cs="Arial"/>
                <w:szCs w:val="20"/>
              </w:rPr>
            </w:pPr>
            <w:r w:rsidRPr="00B75E95">
              <w:rPr>
                <w:rFonts w:cs="Arial"/>
              </w:rPr>
              <w:t>0.71</w:t>
            </w:r>
          </w:p>
        </w:tc>
      </w:tr>
      <w:tr w:rsidR="00771502" w:rsidRPr="00035EB4" w14:paraId="2B5A8393" w14:textId="77777777" w:rsidTr="00B75E95">
        <w:trPr>
          <w:trHeight w:val="398"/>
        </w:trPr>
        <w:tc>
          <w:tcPr>
            <w:tcW w:w="3261" w:type="dxa"/>
            <w:tcBorders>
              <w:top w:val="nil"/>
              <w:left w:val="nil"/>
              <w:bottom w:val="nil"/>
              <w:right w:val="single" w:sz="4" w:space="0" w:color="auto"/>
            </w:tcBorders>
            <w:shd w:val="clear" w:color="auto" w:fill="auto"/>
            <w:noWrap/>
            <w:vAlign w:val="center"/>
            <w:hideMark/>
          </w:tcPr>
          <w:p w14:paraId="18C9F109" w14:textId="77777777"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Baseline standard deviation (SD)</w:t>
            </w:r>
          </w:p>
        </w:tc>
        <w:tc>
          <w:tcPr>
            <w:tcW w:w="1702" w:type="dxa"/>
            <w:tcBorders>
              <w:top w:val="nil"/>
              <w:left w:val="single" w:sz="4" w:space="0" w:color="auto"/>
              <w:bottom w:val="nil"/>
              <w:right w:val="nil"/>
            </w:tcBorders>
            <w:shd w:val="clear" w:color="auto" w:fill="auto"/>
            <w:noWrap/>
            <w:vAlign w:val="center"/>
            <w:hideMark/>
          </w:tcPr>
          <w:p w14:paraId="1630A4B0"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1.27</w:t>
            </w:r>
          </w:p>
        </w:tc>
        <w:tc>
          <w:tcPr>
            <w:tcW w:w="1702" w:type="dxa"/>
            <w:tcBorders>
              <w:top w:val="nil"/>
              <w:left w:val="nil"/>
              <w:bottom w:val="nil"/>
              <w:right w:val="nil"/>
            </w:tcBorders>
            <w:shd w:val="clear" w:color="auto" w:fill="auto"/>
            <w:noWrap/>
            <w:vAlign w:val="center"/>
            <w:hideMark/>
          </w:tcPr>
          <w:p w14:paraId="632AB32D"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0.96</w:t>
            </w:r>
          </w:p>
        </w:tc>
        <w:tc>
          <w:tcPr>
            <w:tcW w:w="1703" w:type="dxa"/>
            <w:tcBorders>
              <w:top w:val="nil"/>
              <w:left w:val="nil"/>
              <w:bottom w:val="nil"/>
              <w:right w:val="single" w:sz="4" w:space="0" w:color="auto"/>
            </w:tcBorders>
            <w:shd w:val="clear" w:color="auto" w:fill="auto"/>
            <w:noWrap/>
            <w:vAlign w:val="center"/>
            <w:hideMark/>
          </w:tcPr>
          <w:p w14:paraId="7828AADF" w14:textId="77777777"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1.59</w:t>
            </w:r>
          </w:p>
        </w:tc>
        <w:tc>
          <w:tcPr>
            <w:tcW w:w="1702" w:type="dxa"/>
            <w:tcBorders>
              <w:top w:val="nil"/>
              <w:left w:val="single" w:sz="4" w:space="0" w:color="auto"/>
              <w:bottom w:val="nil"/>
              <w:right w:val="nil"/>
            </w:tcBorders>
            <w:vAlign w:val="center"/>
          </w:tcPr>
          <w:p w14:paraId="2842BFA1" w14:textId="5DCCEEE8" w:rsidR="00771502" w:rsidRPr="00F643D2" w:rsidRDefault="00771502" w:rsidP="00771502">
            <w:pPr>
              <w:spacing w:before="0" w:after="0" w:line="240" w:lineRule="auto"/>
              <w:jc w:val="center"/>
              <w:rPr>
                <w:rFonts w:eastAsia="Times New Roman" w:cs="Arial"/>
                <w:szCs w:val="20"/>
              </w:rPr>
            </w:pPr>
            <w:r w:rsidRPr="00B75E95">
              <w:rPr>
                <w:rFonts w:cs="Arial"/>
                <w:color w:val="000000"/>
                <w:szCs w:val="20"/>
              </w:rPr>
              <w:t>1.89</w:t>
            </w:r>
          </w:p>
        </w:tc>
        <w:tc>
          <w:tcPr>
            <w:tcW w:w="1702" w:type="dxa"/>
            <w:tcBorders>
              <w:top w:val="nil"/>
              <w:left w:val="nil"/>
              <w:bottom w:val="nil"/>
              <w:right w:val="nil"/>
            </w:tcBorders>
            <w:shd w:val="clear" w:color="auto" w:fill="auto"/>
            <w:noWrap/>
            <w:vAlign w:val="center"/>
            <w:hideMark/>
          </w:tcPr>
          <w:p w14:paraId="4B3031EF" w14:textId="7DB1C796" w:rsidR="00771502" w:rsidRPr="00035EB4" w:rsidRDefault="00771502" w:rsidP="00771502">
            <w:pPr>
              <w:spacing w:before="0" w:after="0" w:line="240" w:lineRule="auto"/>
              <w:jc w:val="center"/>
              <w:rPr>
                <w:rFonts w:eastAsia="Times New Roman" w:cs="Arial"/>
                <w:szCs w:val="20"/>
              </w:rPr>
            </w:pPr>
            <w:r w:rsidRPr="00035EB4">
              <w:rPr>
                <w:rFonts w:eastAsia="Times New Roman" w:cs="Arial"/>
                <w:szCs w:val="20"/>
              </w:rPr>
              <w:t>0.50</w:t>
            </w:r>
          </w:p>
        </w:tc>
        <w:tc>
          <w:tcPr>
            <w:tcW w:w="1703" w:type="dxa"/>
            <w:tcBorders>
              <w:top w:val="nil"/>
              <w:left w:val="nil"/>
              <w:bottom w:val="nil"/>
              <w:right w:val="nil"/>
            </w:tcBorders>
            <w:shd w:val="clear" w:color="auto" w:fill="auto"/>
            <w:noWrap/>
            <w:vAlign w:val="center"/>
            <w:hideMark/>
          </w:tcPr>
          <w:p w14:paraId="12F880A8" w14:textId="590AC8CD" w:rsidR="00771502" w:rsidRPr="00771502" w:rsidRDefault="00771502" w:rsidP="00771502">
            <w:pPr>
              <w:spacing w:before="0" w:after="0" w:line="240" w:lineRule="auto"/>
              <w:jc w:val="center"/>
              <w:rPr>
                <w:rFonts w:eastAsia="Times New Roman" w:cs="Arial"/>
                <w:szCs w:val="20"/>
              </w:rPr>
            </w:pPr>
            <w:r w:rsidRPr="00B75E95">
              <w:rPr>
                <w:rFonts w:cs="Arial"/>
              </w:rPr>
              <w:t>0.75</w:t>
            </w:r>
          </w:p>
        </w:tc>
      </w:tr>
      <w:tr w:rsidR="00771502" w:rsidRPr="00035EB4" w14:paraId="7054D34D" w14:textId="77777777" w:rsidTr="00B75E95">
        <w:trPr>
          <w:trHeight w:val="398"/>
        </w:trPr>
        <w:tc>
          <w:tcPr>
            <w:tcW w:w="3261" w:type="dxa"/>
            <w:tcBorders>
              <w:top w:val="nil"/>
              <w:left w:val="nil"/>
              <w:right w:val="single" w:sz="4" w:space="0" w:color="auto"/>
            </w:tcBorders>
            <w:shd w:val="clear" w:color="auto" w:fill="auto"/>
            <w:noWrap/>
            <w:vAlign w:val="center"/>
          </w:tcPr>
          <w:p w14:paraId="761AA63A" w14:textId="0DC6384B"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 xml:space="preserve">Adjusted SD </w:t>
            </w:r>
            <w:r w:rsidRPr="00035EB4">
              <w:rPr>
                <w:rFonts w:eastAsia="Times New Roman" w:cs="Arial"/>
                <w:color w:val="000000"/>
                <w:szCs w:val="20"/>
                <w:vertAlign w:val="superscript"/>
              </w:rPr>
              <w:t>2)</w:t>
            </w:r>
          </w:p>
        </w:tc>
        <w:tc>
          <w:tcPr>
            <w:tcW w:w="1702" w:type="dxa"/>
            <w:tcBorders>
              <w:top w:val="nil"/>
              <w:left w:val="single" w:sz="4" w:space="0" w:color="auto"/>
              <w:right w:val="nil"/>
            </w:tcBorders>
            <w:shd w:val="clear" w:color="auto" w:fill="auto"/>
            <w:noWrap/>
            <w:vAlign w:val="center"/>
          </w:tcPr>
          <w:p w14:paraId="7767FA40" w14:textId="086A443B"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1.17</w:t>
            </w:r>
          </w:p>
        </w:tc>
        <w:tc>
          <w:tcPr>
            <w:tcW w:w="1702" w:type="dxa"/>
            <w:tcBorders>
              <w:top w:val="nil"/>
              <w:left w:val="nil"/>
              <w:right w:val="nil"/>
            </w:tcBorders>
            <w:shd w:val="clear" w:color="auto" w:fill="auto"/>
            <w:noWrap/>
            <w:vAlign w:val="center"/>
          </w:tcPr>
          <w:p w14:paraId="6AF85AC4" w14:textId="6FC83AA3"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0.92</w:t>
            </w:r>
          </w:p>
        </w:tc>
        <w:tc>
          <w:tcPr>
            <w:tcW w:w="1703" w:type="dxa"/>
            <w:tcBorders>
              <w:top w:val="nil"/>
              <w:left w:val="nil"/>
              <w:right w:val="single" w:sz="4" w:space="0" w:color="auto"/>
            </w:tcBorders>
            <w:shd w:val="clear" w:color="auto" w:fill="auto"/>
            <w:noWrap/>
            <w:vAlign w:val="center"/>
          </w:tcPr>
          <w:p w14:paraId="54BEF23C" w14:textId="6F7E69AF" w:rsidR="00771502" w:rsidRPr="00035EB4" w:rsidRDefault="00771502" w:rsidP="00771502">
            <w:pPr>
              <w:spacing w:before="0" w:after="0" w:line="240" w:lineRule="auto"/>
              <w:jc w:val="center"/>
              <w:rPr>
                <w:rFonts w:eastAsia="Times New Roman" w:cs="Arial"/>
                <w:szCs w:val="20"/>
              </w:rPr>
            </w:pPr>
            <w:r w:rsidRPr="00035EB4">
              <w:rPr>
                <w:rFonts w:eastAsia="Times New Roman" w:cs="Arial"/>
                <w:color w:val="000000"/>
                <w:szCs w:val="20"/>
              </w:rPr>
              <w:t>1.55</w:t>
            </w:r>
          </w:p>
        </w:tc>
        <w:tc>
          <w:tcPr>
            <w:tcW w:w="1702" w:type="dxa"/>
            <w:tcBorders>
              <w:top w:val="nil"/>
              <w:left w:val="single" w:sz="4" w:space="0" w:color="auto"/>
              <w:right w:val="nil"/>
            </w:tcBorders>
            <w:vAlign w:val="center"/>
          </w:tcPr>
          <w:p w14:paraId="53C26E3A" w14:textId="651BE6CF" w:rsidR="00771502" w:rsidRPr="00F643D2" w:rsidRDefault="00771502" w:rsidP="00771502">
            <w:pPr>
              <w:spacing w:before="0" w:after="0" w:line="240" w:lineRule="auto"/>
              <w:jc w:val="center"/>
              <w:rPr>
                <w:rFonts w:eastAsia="Times New Roman" w:cs="Arial"/>
                <w:szCs w:val="20"/>
              </w:rPr>
            </w:pPr>
            <w:r w:rsidRPr="00DA6C7B">
              <w:rPr>
                <w:rFonts w:cs="Arial"/>
                <w:color w:val="000000"/>
                <w:szCs w:val="20"/>
              </w:rPr>
              <w:t>1.56</w:t>
            </w:r>
          </w:p>
        </w:tc>
        <w:tc>
          <w:tcPr>
            <w:tcW w:w="1702" w:type="dxa"/>
            <w:tcBorders>
              <w:top w:val="nil"/>
              <w:left w:val="nil"/>
              <w:right w:val="nil"/>
            </w:tcBorders>
            <w:shd w:val="clear" w:color="auto" w:fill="auto"/>
            <w:noWrap/>
            <w:vAlign w:val="center"/>
          </w:tcPr>
          <w:p w14:paraId="3C5FCA54" w14:textId="5FA9631F" w:rsidR="00771502" w:rsidRPr="00035EB4" w:rsidRDefault="00771502" w:rsidP="00771502">
            <w:pPr>
              <w:spacing w:before="0" w:after="0" w:line="240" w:lineRule="auto"/>
              <w:jc w:val="center"/>
              <w:rPr>
                <w:rFonts w:eastAsia="Times New Roman" w:cs="Arial"/>
                <w:szCs w:val="20"/>
              </w:rPr>
            </w:pPr>
            <w:r w:rsidRPr="00035EB4">
              <w:rPr>
                <w:rFonts w:eastAsia="Times New Roman" w:cs="Arial"/>
                <w:color w:val="000000"/>
                <w:szCs w:val="20"/>
              </w:rPr>
              <w:t>0.42</w:t>
            </w:r>
          </w:p>
        </w:tc>
        <w:tc>
          <w:tcPr>
            <w:tcW w:w="1703" w:type="dxa"/>
            <w:tcBorders>
              <w:top w:val="nil"/>
              <w:left w:val="nil"/>
              <w:right w:val="nil"/>
            </w:tcBorders>
            <w:shd w:val="clear" w:color="auto" w:fill="auto"/>
            <w:noWrap/>
            <w:vAlign w:val="center"/>
          </w:tcPr>
          <w:p w14:paraId="41E1CCE3" w14:textId="004C828B" w:rsidR="00771502" w:rsidRPr="00771502" w:rsidRDefault="00771502" w:rsidP="00771502">
            <w:pPr>
              <w:spacing w:before="0" w:after="0" w:line="240" w:lineRule="auto"/>
              <w:jc w:val="center"/>
              <w:rPr>
                <w:rFonts w:eastAsia="Times New Roman" w:cs="Arial"/>
                <w:szCs w:val="20"/>
              </w:rPr>
            </w:pPr>
            <w:r w:rsidRPr="00B75E95">
              <w:rPr>
                <w:rFonts w:cs="Arial"/>
              </w:rPr>
              <w:t>0.68</w:t>
            </w:r>
          </w:p>
        </w:tc>
      </w:tr>
      <w:tr w:rsidR="00771502" w:rsidRPr="00035EB4" w14:paraId="1B442CD1" w14:textId="77777777" w:rsidTr="00B75E95">
        <w:trPr>
          <w:trHeight w:val="398"/>
        </w:trPr>
        <w:tc>
          <w:tcPr>
            <w:tcW w:w="3261" w:type="dxa"/>
            <w:tcBorders>
              <w:top w:val="nil"/>
              <w:left w:val="nil"/>
              <w:bottom w:val="single" w:sz="4" w:space="0" w:color="auto"/>
              <w:right w:val="single" w:sz="4" w:space="0" w:color="auto"/>
            </w:tcBorders>
            <w:shd w:val="clear" w:color="auto" w:fill="auto"/>
            <w:noWrap/>
            <w:vAlign w:val="center"/>
          </w:tcPr>
          <w:p w14:paraId="4C95FC1B" w14:textId="261D2324"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Intra-cluster correlation (ICC)</w:t>
            </w:r>
          </w:p>
        </w:tc>
        <w:tc>
          <w:tcPr>
            <w:tcW w:w="1702" w:type="dxa"/>
            <w:tcBorders>
              <w:top w:val="nil"/>
              <w:left w:val="single" w:sz="4" w:space="0" w:color="auto"/>
              <w:bottom w:val="single" w:sz="4" w:space="0" w:color="auto"/>
              <w:right w:val="nil"/>
            </w:tcBorders>
            <w:shd w:val="clear" w:color="auto" w:fill="auto"/>
            <w:noWrap/>
            <w:vAlign w:val="center"/>
          </w:tcPr>
          <w:p w14:paraId="30F5802F" w14:textId="46D9EA22"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0.24</w:t>
            </w:r>
          </w:p>
        </w:tc>
        <w:tc>
          <w:tcPr>
            <w:tcW w:w="1702" w:type="dxa"/>
            <w:tcBorders>
              <w:top w:val="nil"/>
              <w:left w:val="nil"/>
              <w:bottom w:val="single" w:sz="4" w:space="0" w:color="auto"/>
              <w:right w:val="nil"/>
            </w:tcBorders>
            <w:shd w:val="clear" w:color="auto" w:fill="auto"/>
            <w:noWrap/>
            <w:vAlign w:val="center"/>
          </w:tcPr>
          <w:p w14:paraId="554365E3" w14:textId="30F80666"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0.001</w:t>
            </w:r>
          </w:p>
        </w:tc>
        <w:tc>
          <w:tcPr>
            <w:tcW w:w="1703" w:type="dxa"/>
            <w:tcBorders>
              <w:top w:val="nil"/>
              <w:left w:val="nil"/>
              <w:bottom w:val="single" w:sz="4" w:space="0" w:color="auto"/>
              <w:right w:val="single" w:sz="4" w:space="0" w:color="auto"/>
            </w:tcBorders>
            <w:shd w:val="clear" w:color="auto" w:fill="auto"/>
            <w:noWrap/>
            <w:vAlign w:val="center"/>
          </w:tcPr>
          <w:p w14:paraId="15A89500" w14:textId="361A4E0C"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szCs w:val="20"/>
              </w:rPr>
              <w:t>0.02</w:t>
            </w:r>
          </w:p>
        </w:tc>
        <w:tc>
          <w:tcPr>
            <w:tcW w:w="1702" w:type="dxa"/>
            <w:tcBorders>
              <w:top w:val="nil"/>
              <w:left w:val="single" w:sz="4" w:space="0" w:color="auto"/>
              <w:bottom w:val="single" w:sz="4" w:space="0" w:color="auto"/>
              <w:right w:val="nil"/>
            </w:tcBorders>
            <w:vAlign w:val="center"/>
          </w:tcPr>
          <w:p w14:paraId="4073ED98" w14:textId="6E6A45CF" w:rsidR="00771502" w:rsidRPr="00F643D2" w:rsidRDefault="00771502" w:rsidP="00771502">
            <w:pPr>
              <w:spacing w:before="0" w:after="0" w:line="240" w:lineRule="auto"/>
              <w:jc w:val="center"/>
              <w:rPr>
                <w:rFonts w:eastAsia="Times New Roman" w:cs="Arial"/>
                <w:color w:val="000000"/>
                <w:szCs w:val="20"/>
              </w:rPr>
            </w:pPr>
            <w:r w:rsidRPr="0066622C">
              <w:rPr>
                <w:rFonts w:cs="Arial"/>
                <w:color w:val="000000"/>
                <w:szCs w:val="20"/>
              </w:rPr>
              <w:t>0.26</w:t>
            </w:r>
          </w:p>
        </w:tc>
        <w:tc>
          <w:tcPr>
            <w:tcW w:w="1702" w:type="dxa"/>
            <w:tcBorders>
              <w:top w:val="nil"/>
              <w:left w:val="nil"/>
              <w:bottom w:val="single" w:sz="4" w:space="0" w:color="auto"/>
              <w:right w:val="nil"/>
            </w:tcBorders>
            <w:shd w:val="clear" w:color="auto" w:fill="auto"/>
            <w:noWrap/>
            <w:vAlign w:val="center"/>
          </w:tcPr>
          <w:p w14:paraId="7F68EB2D" w14:textId="2A30F7C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szCs w:val="20"/>
              </w:rPr>
              <w:t>0.27</w:t>
            </w:r>
          </w:p>
        </w:tc>
        <w:tc>
          <w:tcPr>
            <w:tcW w:w="1703" w:type="dxa"/>
            <w:tcBorders>
              <w:top w:val="nil"/>
              <w:left w:val="nil"/>
              <w:bottom w:val="single" w:sz="4" w:space="0" w:color="auto"/>
              <w:right w:val="nil"/>
            </w:tcBorders>
            <w:shd w:val="clear" w:color="auto" w:fill="auto"/>
            <w:noWrap/>
            <w:vAlign w:val="center"/>
          </w:tcPr>
          <w:p w14:paraId="771316CE" w14:textId="339E69D5" w:rsidR="00771502" w:rsidRPr="00B75E95" w:rsidRDefault="00771502" w:rsidP="00771502">
            <w:pPr>
              <w:spacing w:before="0" w:after="0" w:line="240" w:lineRule="auto"/>
              <w:jc w:val="center"/>
              <w:rPr>
                <w:rFonts w:eastAsia="Times New Roman" w:cs="Arial"/>
                <w:szCs w:val="20"/>
              </w:rPr>
            </w:pPr>
            <w:r w:rsidRPr="00B75E95">
              <w:rPr>
                <w:rFonts w:cs="Arial"/>
              </w:rPr>
              <w:t>0.22</w:t>
            </w:r>
          </w:p>
        </w:tc>
      </w:tr>
      <w:tr w:rsidR="00771502" w:rsidRPr="00035EB4" w14:paraId="4D274B63" w14:textId="77777777" w:rsidTr="00B75E95">
        <w:trPr>
          <w:trHeight w:val="398"/>
        </w:trPr>
        <w:tc>
          <w:tcPr>
            <w:tcW w:w="3261" w:type="dxa"/>
            <w:tcBorders>
              <w:top w:val="single" w:sz="4" w:space="0" w:color="auto"/>
              <w:left w:val="nil"/>
              <w:bottom w:val="nil"/>
              <w:right w:val="single" w:sz="4" w:space="0" w:color="auto"/>
            </w:tcBorders>
            <w:shd w:val="clear" w:color="auto" w:fill="auto"/>
            <w:noWrap/>
            <w:vAlign w:val="center"/>
            <w:hideMark/>
          </w:tcPr>
          <w:p w14:paraId="791C7F5D" w14:textId="78C76EC5"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Adjusted MDES</w:t>
            </w:r>
          </w:p>
        </w:tc>
        <w:tc>
          <w:tcPr>
            <w:tcW w:w="1702" w:type="dxa"/>
            <w:tcBorders>
              <w:top w:val="single" w:sz="4" w:space="0" w:color="auto"/>
              <w:left w:val="single" w:sz="4" w:space="0" w:color="auto"/>
              <w:bottom w:val="nil"/>
              <w:right w:val="nil"/>
            </w:tcBorders>
            <w:shd w:val="clear" w:color="auto" w:fill="auto"/>
            <w:noWrap/>
            <w:vAlign w:val="center"/>
            <w:hideMark/>
          </w:tcPr>
          <w:p w14:paraId="554F0EDE"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0.264</w:t>
            </w:r>
          </w:p>
        </w:tc>
        <w:tc>
          <w:tcPr>
            <w:tcW w:w="1702" w:type="dxa"/>
            <w:tcBorders>
              <w:top w:val="single" w:sz="4" w:space="0" w:color="auto"/>
              <w:left w:val="nil"/>
              <w:bottom w:val="nil"/>
              <w:right w:val="nil"/>
            </w:tcBorders>
            <w:shd w:val="clear" w:color="auto" w:fill="auto"/>
            <w:noWrap/>
            <w:vAlign w:val="center"/>
            <w:hideMark/>
          </w:tcPr>
          <w:p w14:paraId="54FA2CB2"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0.119</w:t>
            </w:r>
          </w:p>
        </w:tc>
        <w:tc>
          <w:tcPr>
            <w:tcW w:w="1703" w:type="dxa"/>
            <w:tcBorders>
              <w:top w:val="single" w:sz="4" w:space="0" w:color="auto"/>
              <w:left w:val="nil"/>
              <w:bottom w:val="nil"/>
              <w:right w:val="single" w:sz="4" w:space="0" w:color="auto"/>
            </w:tcBorders>
            <w:shd w:val="clear" w:color="auto" w:fill="auto"/>
            <w:noWrap/>
            <w:vAlign w:val="center"/>
            <w:hideMark/>
          </w:tcPr>
          <w:p w14:paraId="1C917E89" w14:textId="77777777"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0.222</w:t>
            </w:r>
          </w:p>
        </w:tc>
        <w:tc>
          <w:tcPr>
            <w:tcW w:w="1702" w:type="dxa"/>
            <w:tcBorders>
              <w:top w:val="single" w:sz="4" w:space="0" w:color="auto"/>
              <w:left w:val="single" w:sz="4" w:space="0" w:color="auto"/>
              <w:bottom w:val="nil"/>
              <w:right w:val="nil"/>
            </w:tcBorders>
            <w:vAlign w:val="center"/>
          </w:tcPr>
          <w:p w14:paraId="41D6C64C" w14:textId="59522BA7" w:rsidR="00771502" w:rsidRPr="00F643D2" w:rsidRDefault="00771502" w:rsidP="00771502">
            <w:pPr>
              <w:spacing w:before="0" w:after="0" w:line="240" w:lineRule="auto"/>
              <w:jc w:val="center"/>
              <w:rPr>
                <w:rFonts w:eastAsia="Times New Roman" w:cs="Arial"/>
                <w:color w:val="000000"/>
                <w:szCs w:val="20"/>
              </w:rPr>
            </w:pPr>
            <w:r w:rsidRPr="00B75E95">
              <w:rPr>
                <w:rFonts w:cs="Arial"/>
                <w:color w:val="000000"/>
                <w:szCs w:val="20"/>
              </w:rPr>
              <w:t>0.342</w:t>
            </w:r>
          </w:p>
        </w:tc>
        <w:tc>
          <w:tcPr>
            <w:tcW w:w="1702" w:type="dxa"/>
            <w:tcBorders>
              <w:top w:val="single" w:sz="4" w:space="0" w:color="auto"/>
              <w:left w:val="nil"/>
              <w:bottom w:val="nil"/>
              <w:right w:val="nil"/>
            </w:tcBorders>
            <w:shd w:val="clear" w:color="auto" w:fill="auto"/>
            <w:noWrap/>
            <w:vAlign w:val="center"/>
            <w:hideMark/>
          </w:tcPr>
          <w:p w14:paraId="14B00764" w14:textId="3A6EA5AE" w:rsidR="00771502" w:rsidRPr="00035EB4" w:rsidRDefault="00771502" w:rsidP="00771502">
            <w:pPr>
              <w:spacing w:before="0" w:after="0" w:line="240" w:lineRule="auto"/>
              <w:jc w:val="center"/>
              <w:rPr>
                <w:rFonts w:eastAsia="Times New Roman" w:cs="Arial"/>
                <w:color w:val="000000"/>
                <w:szCs w:val="20"/>
              </w:rPr>
            </w:pPr>
            <w:r w:rsidRPr="00035EB4">
              <w:rPr>
                <w:rFonts w:eastAsia="Times New Roman" w:cs="Arial"/>
                <w:color w:val="000000"/>
                <w:szCs w:val="20"/>
              </w:rPr>
              <w:t>0.093</w:t>
            </w:r>
          </w:p>
        </w:tc>
        <w:tc>
          <w:tcPr>
            <w:tcW w:w="1703" w:type="dxa"/>
            <w:tcBorders>
              <w:top w:val="single" w:sz="4" w:space="0" w:color="auto"/>
              <w:left w:val="nil"/>
              <w:bottom w:val="nil"/>
              <w:right w:val="nil"/>
            </w:tcBorders>
            <w:shd w:val="clear" w:color="auto" w:fill="auto"/>
            <w:noWrap/>
            <w:vAlign w:val="center"/>
            <w:hideMark/>
          </w:tcPr>
          <w:p w14:paraId="401854F4" w14:textId="5F4ED05E" w:rsidR="00771502" w:rsidRPr="00B75E95" w:rsidRDefault="00771502" w:rsidP="00771502">
            <w:pPr>
              <w:spacing w:before="0" w:after="0" w:line="240" w:lineRule="auto"/>
              <w:jc w:val="center"/>
              <w:rPr>
                <w:rFonts w:eastAsia="Times New Roman" w:cs="Arial"/>
                <w:szCs w:val="20"/>
              </w:rPr>
            </w:pPr>
            <w:r w:rsidRPr="00B75E95">
              <w:rPr>
                <w:rFonts w:cs="Arial"/>
              </w:rPr>
              <w:t>0.142</w:t>
            </w:r>
          </w:p>
        </w:tc>
      </w:tr>
      <w:tr w:rsidR="00771502" w:rsidRPr="00035EB4" w14:paraId="62856509" w14:textId="77777777" w:rsidTr="00B75E95">
        <w:trPr>
          <w:trHeight w:val="398"/>
        </w:trPr>
        <w:tc>
          <w:tcPr>
            <w:tcW w:w="3261" w:type="dxa"/>
            <w:tcBorders>
              <w:top w:val="nil"/>
              <w:left w:val="nil"/>
              <w:bottom w:val="single" w:sz="12" w:space="0" w:color="auto"/>
              <w:right w:val="single" w:sz="4" w:space="0" w:color="auto"/>
            </w:tcBorders>
            <w:shd w:val="clear" w:color="auto" w:fill="auto"/>
            <w:noWrap/>
            <w:vAlign w:val="center"/>
            <w:hideMark/>
          </w:tcPr>
          <w:p w14:paraId="47F52A75" w14:textId="5F70B80F" w:rsidR="00771502" w:rsidRPr="00035EB4" w:rsidRDefault="00771502" w:rsidP="00771502">
            <w:pPr>
              <w:spacing w:before="0" w:after="0" w:line="240" w:lineRule="auto"/>
              <w:jc w:val="left"/>
              <w:rPr>
                <w:rFonts w:eastAsia="Times New Roman" w:cs="Arial"/>
                <w:color w:val="000000"/>
                <w:szCs w:val="20"/>
              </w:rPr>
            </w:pPr>
            <w:r w:rsidRPr="00035EB4">
              <w:rPr>
                <w:rFonts w:eastAsia="Times New Roman" w:cs="Arial"/>
                <w:color w:val="000000"/>
                <w:szCs w:val="20"/>
              </w:rPr>
              <w:t>MDE relative to SD</w:t>
            </w:r>
          </w:p>
        </w:tc>
        <w:tc>
          <w:tcPr>
            <w:tcW w:w="1702" w:type="dxa"/>
            <w:tcBorders>
              <w:top w:val="nil"/>
              <w:left w:val="single" w:sz="4" w:space="0" w:color="auto"/>
              <w:bottom w:val="single" w:sz="12" w:space="0" w:color="auto"/>
              <w:right w:val="nil"/>
            </w:tcBorders>
            <w:shd w:val="clear" w:color="auto" w:fill="auto"/>
            <w:noWrap/>
            <w:vAlign w:val="center"/>
            <w:hideMark/>
          </w:tcPr>
          <w:p w14:paraId="236AA864" w14:textId="793BF880" w:rsidR="00771502" w:rsidRPr="00035EB4" w:rsidRDefault="00771502" w:rsidP="00771502">
            <w:pPr>
              <w:spacing w:before="0" w:after="0" w:line="240" w:lineRule="auto"/>
              <w:jc w:val="center"/>
              <w:rPr>
                <w:rFonts w:eastAsia="Times New Roman" w:cs="Arial"/>
                <w:color w:val="000000"/>
                <w:szCs w:val="20"/>
              </w:rPr>
            </w:pPr>
            <w:r w:rsidRPr="00035EB4">
              <w:rPr>
                <w:rFonts w:cs="Arial"/>
                <w:color w:val="000000"/>
                <w:szCs w:val="20"/>
              </w:rPr>
              <w:t>0.23</w:t>
            </w:r>
          </w:p>
        </w:tc>
        <w:tc>
          <w:tcPr>
            <w:tcW w:w="1702" w:type="dxa"/>
            <w:tcBorders>
              <w:top w:val="nil"/>
              <w:left w:val="nil"/>
              <w:bottom w:val="single" w:sz="12" w:space="0" w:color="auto"/>
              <w:right w:val="nil"/>
            </w:tcBorders>
            <w:shd w:val="clear" w:color="auto" w:fill="auto"/>
            <w:noWrap/>
            <w:vAlign w:val="center"/>
            <w:hideMark/>
          </w:tcPr>
          <w:p w14:paraId="4DCADA1F" w14:textId="3B7B31E5" w:rsidR="00771502" w:rsidRPr="00035EB4" w:rsidRDefault="00771502" w:rsidP="00771502">
            <w:pPr>
              <w:spacing w:before="0" w:after="0" w:line="240" w:lineRule="auto"/>
              <w:jc w:val="center"/>
              <w:rPr>
                <w:rFonts w:eastAsia="Times New Roman" w:cs="Arial"/>
                <w:color w:val="000000"/>
                <w:szCs w:val="20"/>
              </w:rPr>
            </w:pPr>
            <w:r w:rsidRPr="00035EB4">
              <w:rPr>
                <w:rFonts w:cs="Arial"/>
                <w:color w:val="000000"/>
                <w:szCs w:val="20"/>
              </w:rPr>
              <w:t>0.13</w:t>
            </w:r>
          </w:p>
        </w:tc>
        <w:tc>
          <w:tcPr>
            <w:tcW w:w="1703" w:type="dxa"/>
            <w:tcBorders>
              <w:top w:val="nil"/>
              <w:left w:val="nil"/>
              <w:bottom w:val="single" w:sz="12" w:space="0" w:color="auto"/>
              <w:right w:val="single" w:sz="4" w:space="0" w:color="auto"/>
            </w:tcBorders>
            <w:shd w:val="clear" w:color="auto" w:fill="auto"/>
            <w:noWrap/>
            <w:vAlign w:val="center"/>
            <w:hideMark/>
          </w:tcPr>
          <w:p w14:paraId="7A1EB046" w14:textId="325C325D" w:rsidR="00771502" w:rsidRPr="00035EB4" w:rsidRDefault="00771502" w:rsidP="00771502">
            <w:pPr>
              <w:spacing w:before="0" w:after="0" w:line="240" w:lineRule="auto"/>
              <w:jc w:val="center"/>
              <w:rPr>
                <w:rFonts w:eastAsia="Times New Roman" w:cs="Arial"/>
                <w:color w:val="000000"/>
                <w:szCs w:val="20"/>
              </w:rPr>
            </w:pPr>
            <w:r w:rsidRPr="00035EB4">
              <w:rPr>
                <w:rFonts w:cs="Arial"/>
                <w:color w:val="000000"/>
                <w:szCs w:val="20"/>
              </w:rPr>
              <w:t>0.14</w:t>
            </w:r>
          </w:p>
        </w:tc>
        <w:tc>
          <w:tcPr>
            <w:tcW w:w="1702" w:type="dxa"/>
            <w:tcBorders>
              <w:top w:val="nil"/>
              <w:left w:val="single" w:sz="4" w:space="0" w:color="auto"/>
              <w:bottom w:val="single" w:sz="12" w:space="0" w:color="auto"/>
              <w:right w:val="nil"/>
            </w:tcBorders>
            <w:vAlign w:val="center"/>
          </w:tcPr>
          <w:p w14:paraId="08FA5EBF" w14:textId="40618248" w:rsidR="00771502" w:rsidRPr="00F643D2" w:rsidRDefault="00771502" w:rsidP="00771502">
            <w:pPr>
              <w:spacing w:before="0" w:after="0" w:line="240" w:lineRule="auto"/>
              <w:jc w:val="center"/>
              <w:rPr>
                <w:rFonts w:cs="Arial"/>
                <w:szCs w:val="20"/>
              </w:rPr>
            </w:pPr>
            <w:r w:rsidRPr="00B75E95">
              <w:rPr>
                <w:rFonts w:cs="Arial"/>
                <w:color w:val="000000"/>
                <w:szCs w:val="20"/>
              </w:rPr>
              <w:t>0.22</w:t>
            </w:r>
          </w:p>
        </w:tc>
        <w:tc>
          <w:tcPr>
            <w:tcW w:w="1702" w:type="dxa"/>
            <w:tcBorders>
              <w:top w:val="nil"/>
              <w:left w:val="nil"/>
              <w:bottom w:val="single" w:sz="12" w:space="0" w:color="auto"/>
              <w:right w:val="nil"/>
            </w:tcBorders>
            <w:shd w:val="clear" w:color="auto" w:fill="auto"/>
            <w:noWrap/>
            <w:vAlign w:val="center"/>
            <w:hideMark/>
          </w:tcPr>
          <w:p w14:paraId="065D658B" w14:textId="67823364" w:rsidR="00771502" w:rsidRPr="00035EB4" w:rsidRDefault="00771502" w:rsidP="00771502">
            <w:pPr>
              <w:spacing w:before="0" w:after="0" w:line="240" w:lineRule="auto"/>
              <w:jc w:val="center"/>
              <w:rPr>
                <w:rFonts w:eastAsia="Times New Roman" w:cs="Arial"/>
                <w:color w:val="000000"/>
                <w:szCs w:val="20"/>
              </w:rPr>
            </w:pPr>
            <w:r w:rsidRPr="00035EB4">
              <w:rPr>
                <w:rFonts w:cs="Arial"/>
                <w:szCs w:val="20"/>
              </w:rPr>
              <w:t>0.22</w:t>
            </w:r>
          </w:p>
        </w:tc>
        <w:tc>
          <w:tcPr>
            <w:tcW w:w="1703" w:type="dxa"/>
            <w:tcBorders>
              <w:top w:val="nil"/>
              <w:left w:val="nil"/>
              <w:bottom w:val="single" w:sz="12" w:space="0" w:color="auto"/>
              <w:right w:val="nil"/>
            </w:tcBorders>
            <w:shd w:val="clear" w:color="auto" w:fill="auto"/>
            <w:noWrap/>
            <w:vAlign w:val="center"/>
            <w:hideMark/>
          </w:tcPr>
          <w:p w14:paraId="480D3F91" w14:textId="6D9C84A1" w:rsidR="00771502" w:rsidRPr="00B75E95" w:rsidRDefault="00771502" w:rsidP="00771502">
            <w:pPr>
              <w:spacing w:before="0" w:after="0" w:line="240" w:lineRule="auto"/>
              <w:jc w:val="center"/>
              <w:rPr>
                <w:rFonts w:eastAsia="Times New Roman" w:cs="Arial"/>
                <w:szCs w:val="20"/>
              </w:rPr>
            </w:pPr>
            <w:r w:rsidRPr="00B75E95">
              <w:rPr>
                <w:rFonts w:cs="Arial"/>
              </w:rPr>
              <w:t>0.21</w:t>
            </w:r>
          </w:p>
        </w:tc>
      </w:tr>
    </w:tbl>
    <w:p w14:paraId="3F2B3C4E" w14:textId="65ABC020" w:rsidR="00BD5733" w:rsidRPr="00B75E95" w:rsidRDefault="00B85271" w:rsidP="007A3C41">
      <w:pPr>
        <w:spacing w:before="0" w:after="0" w:line="240" w:lineRule="auto"/>
      </w:pPr>
      <w:r w:rsidRPr="00B85271">
        <w:rPr>
          <w:rFonts w:cs="Arial"/>
        </w:rPr>
        <w:t xml:space="preserve">Note: Baseline means, SDs and ICCs estimated using the </w:t>
      </w:r>
      <w:r>
        <w:rPr>
          <w:rFonts w:cs="Arial"/>
        </w:rPr>
        <w:t>SPIR-1</w:t>
      </w:r>
      <w:r w:rsidRPr="00B85271">
        <w:rPr>
          <w:rFonts w:cs="Arial"/>
        </w:rPr>
        <w:t xml:space="preserve"> </w:t>
      </w:r>
      <w:r w:rsidR="00DE0F51">
        <w:rPr>
          <w:rFonts w:cs="Arial"/>
        </w:rPr>
        <w:t xml:space="preserve">endline </w:t>
      </w:r>
      <w:r w:rsidRPr="00B85271">
        <w:rPr>
          <w:rFonts w:cs="Arial"/>
        </w:rPr>
        <w:t xml:space="preserve">data. </w:t>
      </w:r>
      <w:r w:rsidR="007A3C41" w:rsidRPr="00B75E95">
        <w:rPr>
          <w:vertAlign w:val="superscript"/>
        </w:rPr>
        <w:t>1)</w:t>
      </w:r>
      <w:r w:rsidR="007A3C41" w:rsidRPr="00B75E95">
        <w:t xml:space="preserve"> </w:t>
      </w:r>
      <w:r w:rsidRPr="00B75E95">
        <w:t>P</w:t>
      </w:r>
      <w:r w:rsidR="007A3C41" w:rsidRPr="00B75E95">
        <w:t>ooled treatment arms for livelihood outcomes</w:t>
      </w:r>
      <w:r w:rsidR="007A3C41" w:rsidRPr="00B75E95">
        <w:rPr>
          <w:vertAlign w:val="superscript"/>
        </w:rPr>
        <w:t xml:space="preserve"> 2)</w:t>
      </w:r>
      <w:r w:rsidR="007A3C41" w:rsidRPr="00B75E95">
        <w:t xml:space="preserve"> Adjusted for the reduced variance in outcomes when including controls for baseline levels</w:t>
      </w:r>
      <w:r w:rsidR="00646EC1" w:rsidRPr="00B75E95">
        <w:t xml:space="preserve"> (where applicable)</w:t>
      </w:r>
      <w:r w:rsidR="007A3C41" w:rsidRPr="00B75E95">
        <w:t xml:space="preserve"> and woreda fixed effects.</w:t>
      </w:r>
    </w:p>
    <w:p w14:paraId="700D3B19" w14:textId="77777777" w:rsidR="00FB5EE8" w:rsidRDefault="00FB5EE8">
      <w:pPr>
        <w:spacing w:before="0" w:after="160" w:line="259" w:lineRule="auto"/>
        <w:jc w:val="left"/>
      </w:pPr>
      <w:bookmarkStart w:id="47" w:name="_1y810tw" w:colFirst="0" w:colLast="0"/>
      <w:bookmarkStart w:id="48" w:name="_Toc519758680"/>
      <w:bookmarkStart w:id="49" w:name="_Toc126582981"/>
      <w:bookmarkEnd w:id="43"/>
      <w:bookmarkEnd w:id="47"/>
    </w:p>
    <w:p w14:paraId="11DE2745" w14:textId="77777777" w:rsidR="00FB5EE8" w:rsidRDefault="00FB5EE8">
      <w:pPr>
        <w:spacing w:before="0" w:after="160" w:line="259" w:lineRule="auto"/>
        <w:jc w:val="left"/>
        <w:rPr>
          <w:rFonts w:cs="Arial"/>
          <w:b/>
          <w:bCs/>
          <w:szCs w:val="20"/>
        </w:rPr>
      </w:pPr>
      <w:r>
        <w:rPr>
          <w:rFonts w:cs="Arial"/>
          <w:b/>
          <w:bCs/>
          <w:szCs w:val="20"/>
        </w:rPr>
        <w:br w:type="page"/>
      </w:r>
    </w:p>
    <w:p w14:paraId="05ACBA48" w14:textId="6C0BDA1B" w:rsidR="00FB5EE8" w:rsidRPr="00FB5EE8" w:rsidRDefault="00FB5EE8" w:rsidP="00FB5EE8">
      <w:pPr>
        <w:rPr>
          <w:rFonts w:cs="Arial"/>
          <w:b/>
          <w:bCs/>
          <w:szCs w:val="20"/>
        </w:rPr>
      </w:pPr>
      <w:r w:rsidRPr="00FB5EE8">
        <w:rPr>
          <w:rFonts w:cs="Arial"/>
          <w:b/>
          <w:bCs/>
          <w:szCs w:val="20"/>
        </w:rPr>
        <w:lastRenderedPageBreak/>
        <w:t xml:space="preserve">Table </w:t>
      </w:r>
      <w:r w:rsidR="00E47B2A">
        <w:rPr>
          <w:rFonts w:cs="Arial"/>
          <w:b/>
          <w:bCs/>
          <w:szCs w:val="20"/>
        </w:rPr>
        <w:t>4</w:t>
      </w:r>
      <w:r>
        <w:rPr>
          <w:rFonts w:cs="Arial"/>
          <w:b/>
          <w:bCs/>
          <w:szCs w:val="20"/>
        </w:rPr>
        <w:t>b</w:t>
      </w:r>
      <w:r w:rsidRPr="00FB5EE8">
        <w:rPr>
          <w:rFonts w:cs="Arial"/>
          <w:b/>
          <w:bCs/>
          <w:szCs w:val="20"/>
        </w:rPr>
        <w:t xml:space="preserve">. Power calculations based on </w:t>
      </w:r>
      <w:r w:rsidR="00D1084E">
        <w:rPr>
          <w:rFonts w:cs="Arial"/>
          <w:b/>
          <w:bCs/>
          <w:szCs w:val="20"/>
        </w:rPr>
        <w:t xml:space="preserve">the SPIR-II </w:t>
      </w:r>
      <w:r w:rsidRPr="00FB5EE8">
        <w:rPr>
          <w:rFonts w:cs="Arial"/>
          <w:b/>
          <w:bCs/>
          <w:szCs w:val="20"/>
        </w:rPr>
        <w:t xml:space="preserve">baseline </w:t>
      </w:r>
      <w:proofErr w:type="gramStart"/>
      <w:r w:rsidRPr="00FB5EE8">
        <w:rPr>
          <w:rFonts w:cs="Arial"/>
          <w:b/>
          <w:bCs/>
          <w:szCs w:val="20"/>
        </w:rPr>
        <w:t>data</w:t>
      </w:r>
      <w:proofErr w:type="gramEnd"/>
    </w:p>
    <w:tbl>
      <w:tblPr>
        <w:tblW w:w="13475" w:type="dxa"/>
        <w:tblLayout w:type="fixed"/>
        <w:tblLook w:val="04A0" w:firstRow="1" w:lastRow="0" w:firstColumn="1" w:lastColumn="0" w:noHBand="0" w:noVBand="1"/>
      </w:tblPr>
      <w:tblGrid>
        <w:gridCol w:w="3261"/>
        <w:gridCol w:w="1702"/>
        <w:gridCol w:w="1702"/>
        <w:gridCol w:w="1703"/>
        <w:gridCol w:w="1702"/>
        <w:gridCol w:w="1702"/>
        <w:gridCol w:w="1703"/>
      </w:tblGrid>
      <w:tr w:rsidR="00FB5EE8" w:rsidRPr="00FB5EE8" w14:paraId="681A5F83" w14:textId="77777777" w:rsidTr="0066622C">
        <w:trPr>
          <w:trHeight w:val="567"/>
        </w:trPr>
        <w:tc>
          <w:tcPr>
            <w:tcW w:w="3261" w:type="dxa"/>
            <w:tcBorders>
              <w:top w:val="single" w:sz="12" w:space="0" w:color="auto"/>
              <w:left w:val="nil"/>
              <w:bottom w:val="single" w:sz="4" w:space="0" w:color="auto"/>
              <w:right w:val="single" w:sz="4" w:space="0" w:color="auto"/>
            </w:tcBorders>
            <w:shd w:val="clear" w:color="auto" w:fill="auto"/>
            <w:noWrap/>
            <w:vAlign w:val="center"/>
          </w:tcPr>
          <w:p w14:paraId="4E73073D" w14:textId="77777777" w:rsidR="00FB5EE8" w:rsidRPr="00FB5EE8" w:rsidRDefault="00FB5EE8" w:rsidP="0066622C">
            <w:pPr>
              <w:spacing w:before="0" w:after="0" w:line="240" w:lineRule="auto"/>
              <w:jc w:val="left"/>
              <w:rPr>
                <w:rFonts w:eastAsia="Times New Roman" w:cs="Arial"/>
                <w:color w:val="000000"/>
                <w:szCs w:val="20"/>
              </w:rPr>
            </w:pPr>
          </w:p>
        </w:tc>
        <w:tc>
          <w:tcPr>
            <w:tcW w:w="510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DE99A02"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Nutrition outcomes</w:t>
            </w:r>
          </w:p>
        </w:tc>
        <w:tc>
          <w:tcPr>
            <w:tcW w:w="5107" w:type="dxa"/>
            <w:gridSpan w:val="3"/>
            <w:tcBorders>
              <w:top w:val="single" w:sz="12" w:space="0" w:color="auto"/>
              <w:left w:val="single" w:sz="4" w:space="0" w:color="auto"/>
              <w:bottom w:val="single" w:sz="4" w:space="0" w:color="auto"/>
              <w:right w:val="nil"/>
            </w:tcBorders>
            <w:vAlign w:val="center"/>
          </w:tcPr>
          <w:p w14:paraId="75C61950" w14:textId="77777777" w:rsidR="00FB5EE8" w:rsidRPr="00FB5EE8" w:rsidRDefault="00FB5EE8" w:rsidP="0066622C">
            <w:pPr>
              <w:spacing w:before="0" w:after="0" w:line="240" w:lineRule="auto"/>
              <w:jc w:val="center"/>
              <w:rPr>
                <w:rFonts w:cs="Arial"/>
                <w:b/>
                <w:bCs/>
                <w:color w:val="000000"/>
                <w:szCs w:val="20"/>
              </w:rPr>
            </w:pPr>
            <w:r w:rsidRPr="00FB5EE8">
              <w:rPr>
                <w:rFonts w:cs="Arial"/>
                <w:b/>
                <w:bCs/>
                <w:color w:val="000000"/>
                <w:szCs w:val="20"/>
              </w:rPr>
              <w:t>Livelihood outcomes</w:t>
            </w:r>
          </w:p>
        </w:tc>
      </w:tr>
      <w:tr w:rsidR="00FB5EE8" w:rsidRPr="00FB5EE8" w14:paraId="794E7B5E" w14:textId="77777777" w:rsidTr="0066622C">
        <w:trPr>
          <w:trHeight w:val="1394"/>
        </w:trPr>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067006A2" w14:textId="77777777" w:rsidR="00FB5EE8" w:rsidRPr="00FB5EE8" w:rsidRDefault="00FB5EE8" w:rsidP="0066622C">
            <w:pPr>
              <w:spacing w:before="0" w:after="0" w:line="240" w:lineRule="auto"/>
              <w:jc w:val="left"/>
              <w:rPr>
                <w:rFonts w:eastAsia="Times New Roman" w:cs="Arial"/>
                <w:color w:val="000000"/>
                <w:szCs w:val="20"/>
              </w:rPr>
            </w:pPr>
            <w:r w:rsidRPr="00FB5EE8">
              <w:rPr>
                <w:rFonts w:eastAsia="Times New Roman" w:cs="Arial"/>
                <w:color w:val="000000"/>
                <w:szCs w:val="20"/>
              </w:rPr>
              <w:t> </w:t>
            </w:r>
          </w:p>
        </w:tc>
        <w:tc>
          <w:tcPr>
            <w:tcW w:w="1702" w:type="dxa"/>
            <w:tcBorders>
              <w:top w:val="single" w:sz="4" w:space="0" w:color="auto"/>
              <w:left w:val="single" w:sz="4" w:space="0" w:color="auto"/>
              <w:bottom w:val="single" w:sz="4" w:space="0" w:color="auto"/>
              <w:right w:val="nil"/>
            </w:tcBorders>
            <w:shd w:val="clear" w:color="auto" w:fill="auto"/>
            <w:vAlign w:val="bottom"/>
            <w:hideMark/>
          </w:tcPr>
          <w:p w14:paraId="12BB2077"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Caregiver IYCF knowledge</w:t>
            </w:r>
          </w:p>
        </w:tc>
        <w:tc>
          <w:tcPr>
            <w:tcW w:w="1702" w:type="dxa"/>
            <w:tcBorders>
              <w:top w:val="single" w:sz="4" w:space="0" w:color="auto"/>
              <w:left w:val="nil"/>
              <w:bottom w:val="single" w:sz="4" w:space="0" w:color="auto"/>
              <w:right w:val="nil"/>
            </w:tcBorders>
            <w:shd w:val="clear" w:color="auto" w:fill="auto"/>
            <w:vAlign w:val="bottom"/>
            <w:hideMark/>
          </w:tcPr>
          <w:p w14:paraId="2FD91DC5"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Number of</w:t>
            </w:r>
          </w:p>
          <w:p w14:paraId="3757CC4F"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food groups consumed (children 6–23 months)</w:t>
            </w:r>
          </w:p>
        </w:tc>
        <w:tc>
          <w:tcPr>
            <w:tcW w:w="1703" w:type="dxa"/>
            <w:tcBorders>
              <w:top w:val="single" w:sz="4" w:space="0" w:color="auto"/>
              <w:left w:val="nil"/>
              <w:bottom w:val="single" w:sz="4" w:space="0" w:color="auto"/>
              <w:right w:val="single" w:sz="4" w:space="0" w:color="auto"/>
            </w:tcBorders>
            <w:shd w:val="clear" w:color="auto" w:fill="auto"/>
            <w:vAlign w:val="bottom"/>
            <w:hideMark/>
          </w:tcPr>
          <w:p w14:paraId="3E45BFF3"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Height-for-age (children 30-48 months)</w:t>
            </w:r>
          </w:p>
        </w:tc>
        <w:tc>
          <w:tcPr>
            <w:tcW w:w="1702" w:type="dxa"/>
            <w:tcBorders>
              <w:top w:val="single" w:sz="4" w:space="0" w:color="auto"/>
              <w:left w:val="single" w:sz="4" w:space="0" w:color="auto"/>
              <w:bottom w:val="single" w:sz="4" w:space="0" w:color="auto"/>
              <w:right w:val="nil"/>
            </w:tcBorders>
            <w:vAlign w:val="bottom"/>
          </w:tcPr>
          <w:p w14:paraId="14E1B189"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Total asset index</w:t>
            </w:r>
          </w:p>
        </w:tc>
        <w:tc>
          <w:tcPr>
            <w:tcW w:w="1702" w:type="dxa"/>
            <w:tcBorders>
              <w:top w:val="single" w:sz="4" w:space="0" w:color="auto"/>
              <w:left w:val="nil"/>
              <w:bottom w:val="single" w:sz="4" w:space="0" w:color="auto"/>
              <w:right w:val="nil"/>
            </w:tcBorders>
            <w:shd w:val="clear" w:color="auto" w:fill="auto"/>
            <w:vAlign w:val="bottom"/>
            <w:hideMark/>
          </w:tcPr>
          <w:p w14:paraId="31648998"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eastAsia="Times New Roman" w:cs="Arial"/>
                <w:b/>
                <w:bCs/>
                <w:color w:val="000000"/>
                <w:szCs w:val="20"/>
              </w:rPr>
              <w:t>Household savings, binary</w:t>
            </w:r>
          </w:p>
        </w:tc>
        <w:tc>
          <w:tcPr>
            <w:tcW w:w="1703" w:type="dxa"/>
            <w:tcBorders>
              <w:top w:val="single" w:sz="4" w:space="0" w:color="auto"/>
              <w:left w:val="nil"/>
              <w:bottom w:val="single" w:sz="4" w:space="0" w:color="auto"/>
              <w:right w:val="nil"/>
            </w:tcBorders>
            <w:shd w:val="clear" w:color="auto" w:fill="auto"/>
            <w:vAlign w:val="bottom"/>
            <w:hideMark/>
          </w:tcPr>
          <w:p w14:paraId="78FF683A" w14:textId="77777777" w:rsidR="00FB5EE8" w:rsidRPr="00FB5EE8" w:rsidRDefault="00FB5EE8" w:rsidP="0066622C">
            <w:pPr>
              <w:spacing w:before="0" w:after="0" w:line="240" w:lineRule="auto"/>
              <w:jc w:val="center"/>
              <w:rPr>
                <w:rFonts w:eastAsia="Times New Roman" w:cs="Arial"/>
                <w:b/>
                <w:bCs/>
                <w:color w:val="000000"/>
                <w:szCs w:val="20"/>
              </w:rPr>
            </w:pPr>
            <w:r w:rsidRPr="00FB5EE8">
              <w:rPr>
                <w:rFonts w:cs="Arial"/>
                <w:b/>
                <w:bCs/>
                <w:color w:val="000000"/>
                <w:szCs w:val="20"/>
              </w:rPr>
              <w:t>Log per capita consumption</w:t>
            </w:r>
          </w:p>
        </w:tc>
      </w:tr>
      <w:tr w:rsidR="00A97437" w:rsidRPr="00FB5EE8" w14:paraId="0FA0377A" w14:textId="77777777" w:rsidTr="00B75E95">
        <w:trPr>
          <w:trHeight w:val="398"/>
        </w:trPr>
        <w:tc>
          <w:tcPr>
            <w:tcW w:w="3261" w:type="dxa"/>
            <w:tcBorders>
              <w:top w:val="nil"/>
              <w:left w:val="nil"/>
              <w:right w:val="single" w:sz="4" w:space="0" w:color="auto"/>
            </w:tcBorders>
            <w:shd w:val="clear" w:color="auto" w:fill="auto"/>
            <w:noWrap/>
            <w:vAlign w:val="center"/>
            <w:hideMark/>
          </w:tcPr>
          <w:p w14:paraId="52DFC08E"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Control clusters</w:t>
            </w:r>
          </w:p>
        </w:tc>
        <w:tc>
          <w:tcPr>
            <w:tcW w:w="1702" w:type="dxa"/>
            <w:tcBorders>
              <w:top w:val="nil"/>
              <w:left w:val="single" w:sz="4" w:space="0" w:color="auto"/>
              <w:right w:val="nil"/>
            </w:tcBorders>
            <w:shd w:val="clear" w:color="auto" w:fill="auto"/>
            <w:noWrap/>
            <w:vAlign w:val="center"/>
            <w:hideMark/>
          </w:tcPr>
          <w:p w14:paraId="6CEAE7B7"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79</w:t>
            </w:r>
          </w:p>
        </w:tc>
        <w:tc>
          <w:tcPr>
            <w:tcW w:w="1702" w:type="dxa"/>
            <w:tcBorders>
              <w:top w:val="nil"/>
              <w:left w:val="nil"/>
              <w:right w:val="nil"/>
            </w:tcBorders>
            <w:shd w:val="clear" w:color="auto" w:fill="auto"/>
            <w:noWrap/>
            <w:vAlign w:val="center"/>
          </w:tcPr>
          <w:p w14:paraId="0AC85969"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nil"/>
              <w:left w:val="nil"/>
              <w:right w:val="single" w:sz="4" w:space="0" w:color="auto"/>
            </w:tcBorders>
            <w:shd w:val="clear" w:color="auto" w:fill="auto"/>
            <w:noWrap/>
            <w:vAlign w:val="center"/>
          </w:tcPr>
          <w:p w14:paraId="431AC36C"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n/a</w:t>
            </w:r>
          </w:p>
        </w:tc>
        <w:tc>
          <w:tcPr>
            <w:tcW w:w="1702" w:type="dxa"/>
            <w:tcBorders>
              <w:top w:val="nil"/>
              <w:left w:val="single" w:sz="4" w:space="0" w:color="auto"/>
              <w:right w:val="nil"/>
            </w:tcBorders>
            <w:vAlign w:val="center"/>
          </w:tcPr>
          <w:p w14:paraId="74C7DB80"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79</w:t>
            </w:r>
          </w:p>
        </w:tc>
        <w:tc>
          <w:tcPr>
            <w:tcW w:w="1702" w:type="dxa"/>
            <w:tcBorders>
              <w:top w:val="nil"/>
              <w:left w:val="nil"/>
              <w:right w:val="nil"/>
            </w:tcBorders>
            <w:shd w:val="clear" w:color="auto" w:fill="auto"/>
            <w:noWrap/>
            <w:vAlign w:val="center"/>
            <w:hideMark/>
          </w:tcPr>
          <w:p w14:paraId="323CB277" w14:textId="77777777" w:rsidR="00A97437" w:rsidRPr="00FB5EE8" w:rsidRDefault="00A97437" w:rsidP="00A97437">
            <w:pPr>
              <w:spacing w:before="0" w:after="0" w:line="240" w:lineRule="auto"/>
              <w:jc w:val="center"/>
              <w:rPr>
                <w:rFonts w:eastAsia="Times New Roman" w:cs="Arial"/>
                <w:szCs w:val="20"/>
              </w:rPr>
            </w:pPr>
            <w:r w:rsidRPr="00B75E95">
              <w:rPr>
                <w:rFonts w:cs="Arial"/>
                <w:szCs w:val="20"/>
              </w:rPr>
              <w:t>79</w:t>
            </w:r>
          </w:p>
        </w:tc>
        <w:tc>
          <w:tcPr>
            <w:tcW w:w="1703" w:type="dxa"/>
            <w:tcBorders>
              <w:top w:val="nil"/>
              <w:left w:val="nil"/>
              <w:right w:val="nil"/>
            </w:tcBorders>
            <w:shd w:val="clear" w:color="auto" w:fill="auto"/>
            <w:noWrap/>
            <w:vAlign w:val="center"/>
            <w:hideMark/>
          </w:tcPr>
          <w:p w14:paraId="5D974789" w14:textId="792DB35F" w:rsidR="00A97437" w:rsidRPr="00A97437" w:rsidRDefault="00A97437" w:rsidP="00A97437">
            <w:pPr>
              <w:spacing w:before="0" w:after="0" w:line="240" w:lineRule="auto"/>
              <w:jc w:val="center"/>
              <w:rPr>
                <w:rFonts w:eastAsia="Times New Roman" w:cs="Arial"/>
                <w:szCs w:val="20"/>
              </w:rPr>
            </w:pPr>
            <w:r w:rsidRPr="00B75E95">
              <w:rPr>
                <w:rFonts w:cs="Arial"/>
                <w:szCs w:val="20"/>
              </w:rPr>
              <w:t>79</w:t>
            </w:r>
          </w:p>
        </w:tc>
      </w:tr>
      <w:tr w:rsidR="00A97437" w:rsidRPr="00FB5EE8" w14:paraId="1A449B39" w14:textId="77777777" w:rsidTr="00B75E95">
        <w:trPr>
          <w:trHeight w:val="398"/>
        </w:trPr>
        <w:tc>
          <w:tcPr>
            <w:tcW w:w="3261" w:type="dxa"/>
            <w:tcBorders>
              <w:top w:val="nil"/>
              <w:left w:val="nil"/>
              <w:bottom w:val="single" w:sz="4" w:space="0" w:color="auto"/>
              <w:right w:val="single" w:sz="4" w:space="0" w:color="auto"/>
            </w:tcBorders>
            <w:shd w:val="clear" w:color="auto" w:fill="auto"/>
            <w:noWrap/>
            <w:vAlign w:val="center"/>
            <w:hideMark/>
          </w:tcPr>
          <w:p w14:paraId="107CFB98"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 xml:space="preserve">Treatment clusters </w:t>
            </w:r>
            <w:r w:rsidRPr="00FB5EE8">
              <w:rPr>
                <w:rFonts w:eastAsia="Times New Roman" w:cs="Arial"/>
                <w:color w:val="000000"/>
                <w:szCs w:val="20"/>
                <w:vertAlign w:val="superscript"/>
              </w:rPr>
              <w:t>1)</w:t>
            </w:r>
          </w:p>
        </w:tc>
        <w:tc>
          <w:tcPr>
            <w:tcW w:w="1702" w:type="dxa"/>
            <w:tcBorders>
              <w:top w:val="nil"/>
              <w:left w:val="single" w:sz="4" w:space="0" w:color="auto"/>
              <w:bottom w:val="single" w:sz="4" w:space="0" w:color="auto"/>
              <w:right w:val="nil"/>
            </w:tcBorders>
            <w:shd w:val="clear" w:color="auto" w:fill="auto"/>
            <w:noWrap/>
            <w:vAlign w:val="center"/>
            <w:hideMark/>
          </w:tcPr>
          <w:p w14:paraId="25CCB982"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79</w:t>
            </w:r>
          </w:p>
        </w:tc>
        <w:tc>
          <w:tcPr>
            <w:tcW w:w="1702" w:type="dxa"/>
            <w:tcBorders>
              <w:top w:val="nil"/>
              <w:left w:val="nil"/>
              <w:bottom w:val="single" w:sz="4" w:space="0" w:color="auto"/>
              <w:right w:val="nil"/>
            </w:tcBorders>
            <w:shd w:val="clear" w:color="auto" w:fill="auto"/>
            <w:noWrap/>
            <w:vAlign w:val="center"/>
          </w:tcPr>
          <w:p w14:paraId="39F5680D"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nil"/>
              <w:left w:val="nil"/>
              <w:bottom w:val="single" w:sz="4" w:space="0" w:color="auto"/>
              <w:right w:val="single" w:sz="4" w:space="0" w:color="auto"/>
            </w:tcBorders>
            <w:shd w:val="clear" w:color="auto" w:fill="auto"/>
            <w:noWrap/>
            <w:vAlign w:val="center"/>
          </w:tcPr>
          <w:p w14:paraId="16A57A90"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n/a</w:t>
            </w:r>
          </w:p>
        </w:tc>
        <w:tc>
          <w:tcPr>
            <w:tcW w:w="1702" w:type="dxa"/>
            <w:tcBorders>
              <w:top w:val="nil"/>
              <w:left w:val="single" w:sz="4" w:space="0" w:color="auto"/>
              <w:bottom w:val="single" w:sz="4" w:space="0" w:color="auto"/>
              <w:right w:val="nil"/>
            </w:tcBorders>
            <w:vAlign w:val="center"/>
          </w:tcPr>
          <w:p w14:paraId="655BB6DC"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158</w:t>
            </w:r>
          </w:p>
        </w:tc>
        <w:tc>
          <w:tcPr>
            <w:tcW w:w="1702" w:type="dxa"/>
            <w:tcBorders>
              <w:top w:val="nil"/>
              <w:left w:val="nil"/>
              <w:bottom w:val="single" w:sz="4" w:space="0" w:color="auto"/>
              <w:right w:val="nil"/>
            </w:tcBorders>
            <w:shd w:val="clear" w:color="auto" w:fill="auto"/>
            <w:noWrap/>
            <w:vAlign w:val="center"/>
            <w:hideMark/>
          </w:tcPr>
          <w:p w14:paraId="0A82F9E1" w14:textId="77777777" w:rsidR="00A97437" w:rsidRPr="00FB5EE8" w:rsidRDefault="00A97437" w:rsidP="00A97437">
            <w:pPr>
              <w:spacing w:before="0" w:after="0" w:line="240" w:lineRule="auto"/>
              <w:jc w:val="center"/>
              <w:rPr>
                <w:rFonts w:eastAsia="Times New Roman" w:cs="Arial"/>
                <w:szCs w:val="20"/>
              </w:rPr>
            </w:pPr>
            <w:r w:rsidRPr="00B75E95">
              <w:rPr>
                <w:rFonts w:cs="Arial"/>
                <w:szCs w:val="20"/>
              </w:rPr>
              <w:t>158</w:t>
            </w:r>
          </w:p>
        </w:tc>
        <w:tc>
          <w:tcPr>
            <w:tcW w:w="1703" w:type="dxa"/>
            <w:tcBorders>
              <w:top w:val="nil"/>
              <w:left w:val="nil"/>
              <w:bottom w:val="single" w:sz="4" w:space="0" w:color="auto"/>
              <w:right w:val="nil"/>
            </w:tcBorders>
            <w:shd w:val="clear" w:color="auto" w:fill="auto"/>
            <w:noWrap/>
            <w:vAlign w:val="center"/>
            <w:hideMark/>
          </w:tcPr>
          <w:p w14:paraId="5DB8EC0D" w14:textId="6EBB4CB0" w:rsidR="00A97437" w:rsidRPr="00A97437" w:rsidRDefault="00A97437" w:rsidP="00A97437">
            <w:pPr>
              <w:spacing w:before="0" w:after="0" w:line="240" w:lineRule="auto"/>
              <w:jc w:val="center"/>
              <w:rPr>
                <w:rFonts w:eastAsia="Times New Roman" w:cs="Arial"/>
                <w:szCs w:val="20"/>
              </w:rPr>
            </w:pPr>
            <w:r w:rsidRPr="00B75E95">
              <w:rPr>
                <w:rFonts w:cs="Arial"/>
                <w:szCs w:val="20"/>
              </w:rPr>
              <w:t>158</w:t>
            </w:r>
          </w:p>
        </w:tc>
      </w:tr>
      <w:tr w:rsidR="00A97437" w:rsidRPr="00FB5EE8" w14:paraId="51101489" w14:textId="77777777" w:rsidTr="00B75E95">
        <w:trPr>
          <w:trHeight w:val="398"/>
        </w:trPr>
        <w:tc>
          <w:tcPr>
            <w:tcW w:w="3261" w:type="dxa"/>
            <w:tcBorders>
              <w:top w:val="single" w:sz="4" w:space="0" w:color="auto"/>
              <w:left w:val="nil"/>
              <w:bottom w:val="nil"/>
              <w:right w:val="single" w:sz="4" w:space="0" w:color="auto"/>
            </w:tcBorders>
            <w:shd w:val="clear" w:color="auto" w:fill="auto"/>
            <w:noWrap/>
            <w:vAlign w:val="center"/>
            <w:hideMark/>
          </w:tcPr>
          <w:p w14:paraId="55038DC8"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Baseline mean</w:t>
            </w:r>
          </w:p>
        </w:tc>
        <w:tc>
          <w:tcPr>
            <w:tcW w:w="1702" w:type="dxa"/>
            <w:tcBorders>
              <w:top w:val="single" w:sz="4" w:space="0" w:color="auto"/>
              <w:left w:val="single" w:sz="4" w:space="0" w:color="auto"/>
              <w:bottom w:val="nil"/>
              <w:right w:val="nil"/>
            </w:tcBorders>
            <w:shd w:val="clear" w:color="auto" w:fill="auto"/>
            <w:noWrap/>
            <w:vAlign w:val="center"/>
          </w:tcPr>
          <w:p w14:paraId="046314B7"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8.5</w:t>
            </w:r>
          </w:p>
        </w:tc>
        <w:tc>
          <w:tcPr>
            <w:tcW w:w="1702" w:type="dxa"/>
            <w:tcBorders>
              <w:top w:val="single" w:sz="4" w:space="0" w:color="auto"/>
              <w:left w:val="nil"/>
              <w:bottom w:val="nil"/>
              <w:right w:val="nil"/>
            </w:tcBorders>
            <w:shd w:val="clear" w:color="auto" w:fill="auto"/>
            <w:noWrap/>
            <w:vAlign w:val="center"/>
          </w:tcPr>
          <w:p w14:paraId="681E68E6"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single" w:sz="4" w:space="0" w:color="auto"/>
              <w:left w:val="nil"/>
              <w:bottom w:val="nil"/>
              <w:right w:val="single" w:sz="4" w:space="0" w:color="auto"/>
            </w:tcBorders>
            <w:shd w:val="clear" w:color="auto" w:fill="auto"/>
            <w:noWrap/>
            <w:vAlign w:val="center"/>
          </w:tcPr>
          <w:p w14:paraId="71AB3723"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n/a</w:t>
            </w:r>
          </w:p>
        </w:tc>
        <w:tc>
          <w:tcPr>
            <w:tcW w:w="1702" w:type="dxa"/>
            <w:tcBorders>
              <w:top w:val="single" w:sz="4" w:space="0" w:color="auto"/>
              <w:left w:val="single" w:sz="4" w:space="0" w:color="auto"/>
              <w:bottom w:val="nil"/>
              <w:right w:val="nil"/>
            </w:tcBorders>
            <w:vAlign w:val="center"/>
          </w:tcPr>
          <w:p w14:paraId="506F3605" w14:textId="77777777" w:rsidR="00A97437" w:rsidRPr="00FB5EE8" w:rsidRDefault="00A97437" w:rsidP="00A97437">
            <w:pPr>
              <w:spacing w:before="0" w:after="0" w:line="240" w:lineRule="auto"/>
              <w:jc w:val="center"/>
              <w:rPr>
                <w:rFonts w:eastAsia="Times New Roman" w:cs="Arial"/>
                <w:szCs w:val="20"/>
              </w:rPr>
            </w:pPr>
            <w:r w:rsidRPr="00B75E95">
              <w:rPr>
                <w:rFonts w:cs="Arial"/>
                <w:color w:val="000000"/>
                <w:szCs w:val="20"/>
              </w:rPr>
              <w:t>-0.02</w:t>
            </w:r>
          </w:p>
        </w:tc>
        <w:tc>
          <w:tcPr>
            <w:tcW w:w="1702" w:type="dxa"/>
            <w:tcBorders>
              <w:top w:val="single" w:sz="4" w:space="0" w:color="auto"/>
              <w:left w:val="nil"/>
              <w:bottom w:val="nil"/>
              <w:right w:val="nil"/>
            </w:tcBorders>
            <w:shd w:val="clear" w:color="auto" w:fill="auto"/>
            <w:noWrap/>
            <w:vAlign w:val="center"/>
          </w:tcPr>
          <w:p w14:paraId="557844D8" w14:textId="77777777" w:rsidR="00A97437" w:rsidRPr="00FB5EE8" w:rsidRDefault="00A97437" w:rsidP="00A97437">
            <w:pPr>
              <w:spacing w:before="0" w:after="0" w:line="240" w:lineRule="auto"/>
              <w:jc w:val="center"/>
              <w:rPr>
                <w:rFonts w:eastAsia="Times New Roman" w:cs="Arial"/>
                <w:szCs w:val="20"/>
              </w:rPr>
            </w:pPr>
            <w:r w:rsidRPr="00B75E95">
              <w:rPr>
                <w:rFonts w:cs="Arial"/>
                <w:szCs w:val="20"/>
              </w:rPr>
              <w:t>0.37</w:t>
            </w:r>
          </w:p>
        </w:tc>
        <w:tc>
          <w:tcPr>
            <w:tcW w:w="1703" w:type="dxa"/>
            <w:tcBorders>
              <w:top w:val="single" w:sz="4" w:space="0" w:color="auto"/>
              <w:left w:val="nil"/>
              <w:bottom w:val="nil"/>
              <w:right w:val="nil"/>
            </w:tcBorders>
            <w:shd w:val="clear" w:color="auto" w:fill="auto"/>
            <w:noWrap/>
            <w:vAlign w:val="center"/>
          </w:tcPr>
          <w:p w14:paraId="01F5E2F2" w14:textId="3D409D73" w:rsidR="00A97437" w:rsidRPr="00A97437" w:rsidRDefault="00A97437" w:rsidP="00A97437">
            <w:pPr>
              <w:spacing w:before="0" w:after="0" w:line="240" w:lineRule="auto"/>
              <w:jc w:val="center"/>
              <w:rPr>
                <w:rFonts w:eastAsia="Times New Roman" w:cs="Arial"/>
                <w:szCs w:val="20"/>
              </w:rPr>
            </w:pPr>
            <w:r w:rsidRPr="00B75E95">
              <w:rPr>
                <w:rFonts w:cs="Arial"/>
                <w:szCs w:val="20"/>
              </w:rPr>
              <w:t>0.45</w:t>
            </w:r>
          </w:p>
        </w:tc>
      </w:tr>
      <w:tr w:rsidR="00A97437" w:rsidRPr="00FB5EE8" w14:paraId="4982BD0E" w14:textId="77777777" w:rsidTr="00B75E95">
        <w:trPr>
          <w:trHeight w:val="398"/>
        </w:trPr>
        <w:tc>
          <w:tcPr>
            <w:tcW w:w="3261" w:type="dxa"/>
            <w:tcBorders>
              <w:top w:val="nil"/>
              <w:left w:val="nil"/>
              <w:bottom w:val="nil"/>
              <w:right w:val="single" w:sz="4" w:space="0" w:color="auto"/>
            </w:tcBorders>
            <w:shd w:val="clear" w:color="auto" w:fill="auto"/>
            <w:noWrap/>
            <w:vAlign w:val="center"/>
            <w:hideMark/>
          </w:tcPr>
          <w:p w14:paraId="70F0B591"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Baseline standard deviation (SD)</w:t>
            </w:r>
          </w:p>
        </w:tc>
        <w:tc>
          <w:tcPr>
            <w:tcW w:w="1702" w:type="dxa"/>
            <w:tcBorders>
              <w:top w:val="nil"/>
              <w:left w:val="single" w:sz="4" w:space="0" w:color="auto"/>
              <w:bottom w:val="nil"/>
              <w:right w:val="nil"/>
            </w:tcBorders>
            <w:shd w:val="clear" w:color="auto" w:fill="auto"/>
            <w:noWrap/>
            <w:vAlign w:val="center"/>
          </w:tcPr>
          <w:p w14:paraId="5D727ECD"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2.26</w:t>
            </w:r>
          </w:p>
        </w:tc>
        <w:tc>
          <w:tcPr>
            <w:tcW w:w="1702" w:type="dxa"/>
            <w:tcBorders>
              <w:top w:val="nil"/>
              <w:left w:val="nil"/>
              <w:bottom w:val="nil"/>
              <w:right w:val="nil"/>
            </w:tcBorders>
            <w:shd w:val="clear" w:color="auto" w:fill="auto"/>
            <w:noWrap/>
            <w:vAlign w:val="center"/>
          </w:tcPr>
          <w:p w14:paraId="0C775385"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nil"/>
              <w:left w:val="nil"/>
              <w:bottom w:val="nil"/>
              <w:right w:val="single" w:sz="4" w:space="0" w:color="auto"/>
            </w:tcBorders>
            <w:shd w:val="clear" w:color="auto" w:fill="auto"/>
            <w:noWrap/>
            <w:vAlign w:val="center"/>
          </w:tcPr>
          <w:p w14:paraId="58CBCF03"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n/a</w:t>
            </w:r>
          </w:p>
        </w:tc>
        <w:tc>
          <w:tcPr>
            <w:tcW w:w="1702" w:type="dxa"/>
            <w:tcBorders>
              <w:top w:val="nil"/>
              <w:left w:val="single" w:sz="4" w:space="0" w:color="auto"/>
              <w:bottom w:val="nil"/>
              <w:right w:val="nil"/>
            </w:tcBorders>
            <w:vAlign w:val="center"/>
          </w:tcPr>
          <w:p w14:paraId="1DD17AB0" w14:textId="77777777" w:rsidR="00A97437" w:rsidRPr="00FB5EE8" w:rsidRDefault="00A97437" w:rsidP="00A97437">
            <w:pPr>
              <w:spacing w:before="0" w:after="0" w:line="240" w:lineRule="auto"/>
              <w:jc w:val="center"/>
              <w:rPr>
                <w:rFonts w:eastAsia="Times New Roman" w:cs="Arial"/>
                <w:szCs w:val="20"/>
              </w:rPr>
            </w:pPr>
            <w:r w:rsidRPr="00B75E95">
              <w:rPr>
                <w:rFonts w:cs="Arial"/>
                <w:color w:val="000000"/>
                <w:szCs w:val="20"/>
              </w:rPr>
              <w:t>1.74</w:t>
            </w:r>
          </w:p>
        </w:tc>
        <w:tc>
          <w:tcPr>
            <w:tcW w:w="1702" w:type="dxa"/>
            <w:tcBorders>
              <w:top w:val="nil"/>
              <w:left w:val="nil"/>
              <w:bottom w:val="nil"/>
              <w:right w:val="nil"/>
            </w:tcBorders>
            <w:shd w:val="clear" w:color="auto" w:fill="auto"/>
            <w:noWrap/>
            <w:vAlign w:val="center"/>
          </w:tcPr>
          <w:p w14:paraId="085C6830" w14:textId="77777777" w:rsidR="00A97437" w:rsidRPr="00FB5EE8" w:rsidRDefault="00A97437" w:rsidP="00A97437">
            <w:pPr>
              <w:spacing w:before="0" w:after="0" w:line="240" w:lineRule="auto"/>
              <w:jc w:val="center"/>
              <w:rPr>
                <w:rFonts w:eastAsia="Times New Roman" w:cs="Arial"/>
                <w:szCs w:val="20"/>
              </w:rPr>
            </w:pPr>
            <w:r w:rsidRPr="00B75E95">
              <w:rPr>
                <w:rFonts w:cs="Arial"/>
                <w:szCs w:val="20"/>
              </w:rPr>
              <w:t>0.48</w:t>
            </w:r>
          </w:p>
        </w:tc>
        <w:tc>
          <w:tcPr>
            <w:tcW w:w="1703" w:type="dxa"/>
            <w:tcBorders>
              <w:top w:val="nil"/>
              <w:left w:val="nil"/>
              <w:bottom w:val="nil"/>
              <w:right w:val="nil"/>
            </w:tcBorders>
            <w:shd w:val="clear" w:color="auto" w:fill="auto"/>
            <w:noWrap/>
            <w:vAlign w:val="center"/>
          </w:tcPr>
          <w:p w14:paraId="5C15C065" w14:textId="5870209E" w:rsidR="00A97437" w:rsidRPr="00A97437" w:rsidRDefault="00A97437" w:rsidP="00A97437">
            <w:pPr>
              <w:spacing w:before="0" w:after="0" w:line="240" w:lineRule="auto"/>
              <w:jc w:val="center"/>
              <w:rPr>
                <w:rFonts w:eastAsia="Times New Roman" w:cs="Arial"/>
                <w:szCs w:val="20"/>
              </w:rPr>
            </w:pPr>
            <w:r w:rsidRPr="00B75E95">
              <w:rPr>
                <w:rFonts w:cs="Arial"/>
                <w:szCs w:val="20"/>
              </w:rPr>
              <w:t>0.48</w:t>
            </w:r>
          </w:p>
        </w:tc>
      </w:tr>
      <w:tr w:rsidR="00A97437" w:rsidRPr="00FB5EE8" w14:paraId="27E19ABA" w14:textId="77777777" w:rsidTr="00B75E95">
        <w:trPr>
          <w:trHeight w:val="398"/>
        </w:trPr>
        <w:tc>
          <w:tcPr>
            <w:tcW w:w="3261" w:type="dxa"/>
            <w:tcBorders>
              <w:top w:val="nil"/>
              <w:left w:val="nil"/>
              <w:right w:val="single" w:sz="4" w:space="0" w:color="auto"/>
            </w:tcBorders>
            <w:shd w:val="clear" w:color="auto" w:fill="auto"/>
            <w:noWrap/>
            <w:vAlign w:val="center"/>
          </w:tcPr>
          <w:p w14:paraId="379B9E2C"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 xml:space="preserve">Adjusted SD </w:t>
            </w:r>
            <w:r w:rsidRPr="00FB5EE8">
              <w:rPr>
                <w:rFonts w:eastAsia="Times New Roman" w:cs="Arial"/>
                <w:color w:val="000000"/>
                <w:szCs w:val="20"/>
                <w:vertAlign w:val="superscript"/>
              </w:rPr>
              <w:t>2)</w:t>
            </w:r>
          </w:p>
        </w:tc>
        <w:tc>
          <w:tcPr>
            <w:tcW w:w="1702" w:type="dxa"/>
            <w:tcBorders>
              <w:top w:val="nil"/>
              <w:left w:val="single" w:sz="4" w:space="0" w:color="auto"/>
              <w:right w:val="nil"/>
            </w:tcBorders>
            <w:shd w:val="clear" w:color="auto" w:fill="auto"/>
            <w:noWrap/>
            <w:vAlign w:val="center"/>
          </w:tcPr>
          <w:p w14:paraId="680FE0E3"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1.88</w:t>
            </w:r>
          </w:p>
        </w:tc>
        <w:tc>
          <w:tcPr>
            <w:tcW w:w="1702" w:type="dxa"/>
            <w:tcBorders>
              <w:top w:val="nil"/>
              <w:left w:val="nil"/>
              <w:right w:val="nil"/>
            </w:tcBorders>
            <w:shd w:val="clear" w:color="auto" w:fill="auto"/>
            <w:noWrap/>
            <w:vAlign w:val="center"/>
          </w:tcPr>
          <w:p w14:paraId="44335BAD"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nil"/>
              <w:left w:val="nil"/>
              <w:right w:val="single" w:sz="4" w:space="0" w:color="auto"/>
            </w:tcBorders>
            <w:shd w:val="clear" w:color="auto" w:fill="auto"/>
            <w:noWrap/>
            <w:vAlign w:val="center"/>
          </w:tcPr>
          <w:p w14:paraId="0150D551" w14:textId="77777777" w:rsidR="00A97437" w:rsidRPr="00FB5EE8" w:rsidRDefault="00A97437" w:rsidP="00A97437">
            <w:pPr>
              <w:spacing w:before="0" w:after="0" w:line="240" w:lineRule="auto"/>
              <w:jc w:val="center"/>
              <w:rPr>
                <w:rFonts w:eastAsia="Times New Roman" w:cs="Arial"/>
                <w:szCs w:val="20"/>
              </w:rPr>
            </w:pPr>
            <w:r w:rsidRPr="00FB5EE8">
              <w:rPr>
                <w:rFonts w:cs="Arial"/>
                <w:color w:val="000000"/>
                <w:szCs w:val="20"/>
              </w:rPr>
              <w:t>n/a</w:t>
            </w:r>
          </w:p>
        </w:tc>
        <w:tc>
          <w:tcPr>
            <w:tcW w:w="1702" w:type="dxa"/>
            <w:tcBorders>
              <w:top w:val="nil"/>
              <w:left w:val="single" w:sz="4" w:space="0" w:color="auto"/>
              <w:right w:val="nil"/>
            </w:tcBorders>
            <w:vAlign w:val="center"/>
          </w:tcPr>
          <w:p w14:paraId="15143342" w14:textId="77777777" w:rsidR="00A97437" w:rsidRPr="00FB5EE8" w:rsidRDefault="00A97437" w:rsidP="00A97437">
            <w:pPr>
              <w:spacing w:before="0" w:after="0" w:line="240" w:lineRule="auto"/>
              <w:jc w:val="center"/>
              <w:rPr>
                <w:rFonts w:eastAsia="Times New Roman" w:cs="Arial"/>
                <w:szCs w:val="20"/>
              </w:rPr>
            </w:pPr>
            <w:r w:rsidRPr="00B75E95">
              <w:rPr>
                <w:rFonts w:cs="Arial"/>
                <w:color w:val="000000"/>
                <w:szCs w:val="20"/>
              </w:rPr>
              <w:t>1.60</w:t>
            </w:r>
          </w:p>
        </w:tc>
        <w:tc>
          <w:tcPr>
            <w:tcW w:w="1702" w:type="dxa"/>
            <w:tcBorders>
              <w:top w:val="nil"/>
              <w:left w:val="nil"/>
              <w:right w:val="nil"/>
            </w:tcBorders>
            <w:shd w:val="clear" w:color="auto" w:fill="auto"/>
            <w:noWrap/>
            <w:vAlign w:val="center"/>
          </w:tcPr>
          <w:p w14:paraId="42FF329C" w14:textId="77777777" w:rsidR="00A97437" w:rsidRPr="00FB5EE8" w:rsidRDefault="00A97437" w:rsidP="00A97437">
            <w:pPr>
              <w:spacing w:before="0" w:after="0" w:line="240" w:lineRule="auto"/>
              <w:jc w:val="center"/>
              <w:rPr>
                <w:rFonts w:eastAsia="Times New Roman" w:cs="Arial"/>
                <w:szCs w:val="20"/>
              </w:rPr>
            </w:pPr>
            <w:r w:rsidRPr="00B75E95">
              <w:rPr>
                <w:rFonts w:cs="Arial"/>
                <w:szCs w:val="20"/>
              </w:rPr>
              <w:t>0.44</w:t>
            </w:r>
          </w:p>
        </w:tc>
        <w:tc>
          <w:tcPr>
            <w:tcW w:w="1703" w:type="dxa"/>
            <w:tcBorders>
              <w:top w:val="nil"/>
              <w:left w:val="nil"/>
              <w:right w:val="nil"/>
            </w:tcBorders>
            <w:shd w:val="clear" w:color="auto" w:fill="auto"/>
            <w:noWrap/>
            <w:vAlign w:val="center"/>
          </w:tcPr>
          <w:p w14:paraId="53456286" w14:textId="7A50695D" w:rsidR="00A97437" w:rsidRPr="00A97437" w:rsidRDefault="00A97437" w:rsidP="00A97437">
            <w:pPr>
              <w:spacing w:before="0" w:after="0" w:line="240" w:lineRule="auto"/>
              <w:jc w:val="center"/>
              <w:rPr>
                <w:rFonts w:eastAsia="Times New Roman" w:cs="Arial"/>
                <w:szCs w:val="20"/>
              </w:rPr>
            </w:pPr>
            <w:r w:rsidRPr="00B75E95">
              <w:rPr>
                <w:rFonts w:cs="Arial"/>
                <w:szCs w:val="20"/>
              </w:rPr>
              <w:t>0.46</w:t>
            </w:r>
          </w:p>
        </w:tc>
      </w:tr>
      <w:tr w:rsidR="00A97437" w:rsidRPr="00FB5EE8" w14:paraId="02EF713E" w14:textId="77777777" w:rsidTr="00B75E95">
        <w:trPr>
          <w:trHeight w:val="398"/>
        </w:trPr>
        <w:tc>
          <w:tcPr>
            <w:tcW w:w="3261" w:type="dxa"/>
            <w:tcBorders>
              <w:top w:val="nil"/>
              <w:left w:val="nil"/>
              <w:bottom w:val="single" w:sz="4" w:space="0" w:color="auto"/>
              <w:right w:val="single" w:sz="4" w:space="0" w:color="auto"/>
            </w:tcBorders>
            <w:shd w:val="clear" w:color="auto" w:fill="auto"/>
            <w:noWrap/>
            <w:vAlign w:val="center"/>
          </w:tcPr>
          <w:p w14:paraId="14F9A891"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Intra-cluster correlation (ICC)</w:t>
            </w:r>
          </w:p>
        </w:tc>
        <w:tc>
          <w:tcPr>
            <w:tcW w:w="1702" w:type="dxa"/>
            <w:tcBorders>
              <w:top w:val="nil"/>
              <w:left w:val="single" w:sz="4" w:space="0" w:color="auto"/>
              <w:bottom w:val="single" w:sz="4" w:space="0" w:color="auto"/>
              <w:right w:val="nil"/>
            </w:tcBorders>
            <w:shd w:val="clear" w:color="auto" w:fill="auto"/>
            <w:noWrap/>
            <w:vAlign w:val="center"/>
          </w:tcPr>
          <w:p w14:paraId="48C471BB"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0.32</w:t>
            </w:r>
          </w:p>
        </w:tc>
        <w:tc>
          <w:tcPr>
            <w:tcW w:w="1702" w:type="dxa"/>
            <w:tcBorders>
              <w:top w:val="nil"/>
              <w:left w:val="nil"/>
              <w:bottom w:val="single" w:sz="4" w:space="0" w:color="auto"/>
              <w:right w:val="nil"/>
            </w:tcBorders>
            <w:shd w:val="clear" w:color="auto" w:fill="auto"/>
            <w:noWrap/>
            <w:vAlign w:val="center"/>
          </w:tcPr>
          <w:p w14:paraId="334BEF79"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nil"/>
              <w:left w:val="nil"/>
              <w:bottom w:val="single" w:sz="4" w:space="0" w:color="auto"/>
              <w:right w:val="single" w:sz="4" w:space="0" w:color="auto"/>
            </w:tcBorders>
            <w:shd w:val="clear" w:color="auto" w:fill="auto"/>
            <w:noWrap/>
            <w:vAlign w:val="center"/>
          </w:tcPr>
          <w:p w14:paraId="032EB4F3"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2" w:type="dxa"/>
            <w:tcBorders>
              <w:top w:val="nil"/>
              <w:left w:val="single" w:sz="4" w:space="0" w:color="auto"/>
              <w:bottom w:val="single" w:sz="4" w:space="0" w:color="auto"/>
              <w:right w:val="nil"/>
            </w:tcBorders>
            <w:vAlign w:val="center"/>
          </w:tcPr>
          <w:p w14:paraId="31E08666"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0.19</w:t>
            </w:r>
          </w:p>
        </w:tc>
        <w:tc>
          <w:tcPr>
            <w:tcW w:w="1702" w:type="dxa"/>
            <w:tcBorders>
              <w:top w:val="nil"/>
              <w:left w:val="nil"/>
              <w:bottom w:val="single" w:sz="4" w:space="0" w:color="auto"/>
              <w:right w:val="nil"/>
            </w:tcBorders>
            <w:shd w:val="clear" w:color="auto" w:fill="auto"/>
            <w:noWrap/>
            <w:vAlign w:val="center"/>
          </w:tcPr>
          <w:p w14:paraId="0D90D2C6"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szCs w:val="20"/>
              </w:rPr>
              <w:t>0.23</w:t>
            </w:r>
          </w:p>
        </w:tc>
        <w:tc>
          <w:tcPr>
            <w:tcW w:w="1703" w:type="dxa"/>
            <w:tcBorders>
              <w:top w:val="nil"/>
              <w:left w:val="nil"/>
              <w:bottom w:val="single" w:sz="4" w:space="0" w:color="auto"/>
              <w:right w:val="nil"/>
            </w:tcBorders>
            <w:shd w:val="clear" w:color="auto" w:fill="auto"/>
            <w:noWrap/>
            <w:vAlign w:val="center"/>
          </w:tcPr>
          <w:p w14:paraId="07F2A6A3" w14:textId="318FFA7C" w:rsidR="00A97437" w:rsidRPr="00A97437" w:rsidRDefault="00A97437" w:rsidP="00A97437">
            <w:pPr>
              <w:spacing w:before="0" w:after="0" w:line="240" w:lineRule="auto"/>
              <w:jc w:val="center"/>
              <w:rPr>
                <w:rFonts w:eastAsia="Times New Roman" w:cs="Arial"/>
                <w:color w:val="000000"/>
                <w:szCs w:val="20"/>
              </w:rPr>
            </w:pPr>
            <w:r w:rsidRPr="00B75E95">
              <w:rPr>
                <w:rFonts w:cs="Arial"/>
                <w:szCs w:val="20"/>
              </w:rPr>
              <w:t>0.09</w:t>
            </w:r>
          </w:p>
        </w:tc>
      </w:tr>
      <w:tr w:rsidR="00A97437" w:rsidRPr="00FB5EE8" w14:paraId="458C3AE3" w14:textId="77777777" w:rsidTr="00B75E95">
        <w:trPr>
          <w:trHeight w:val="398"/>
        </w:trPr>
        <w:tc>
          <w:tcPr>
            <w:tcW w:w="3261" w:type="dxa"/>
            <w:tcBorders>
              <w:top w:val="single" w:sz="4" w:space="0" w:color="auto"/>
              <w:left w:val="nil"/>
              <w:bottom w:val="nil"/>
              <w:right w:val="single" w:sz="4" w:space="0" w:color="auto"/>
            </w:tcBorders>
            <w:shd w:val="clear" w:color="auto" w:fill="auto"/>
            <w:noWrap/>
            <w:vAlign w:val="center"/>
            <w:hideMark/>
          </w:tcPr>
          <w:p w14:paraId="36D80994"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Adjusted MDES</w:t>
            </w:r>
          </w:p>
        </w:tc>
        <w:tc>
          <w:tcPr>
            <w:tcW w:w="1702" w:type="dxa"/>
            <w:tcBorders>
              <w:top w:val="single" w:sz="4" w:space="0" w:color="auto"/>
              <w:left w:val="single" w:sz="4" w:space="0" w:color="auto"/>
              <w:bottom w:val="nil"/>
              <w:right w:val="nil"/>
            </w:tcBorders>
            <w:shd w:val="clear" w:color="auto" w:fill="auto"/>
            <w:noWrap/>
            <w:vAlign w:val="center"/>
          </w:tcPr>
          <w:p w14:paraId="18F43322"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0.511</w:t>
            </w:r>
          </w:p>
        </w:tc>
        <w:tc>
          <w:tcPr>
            <w:tcW w:w="1702" w:type="dxa"/>
            <w:tcBorders>
              <w:top w:val="single" w:sz="4" w:space="0" w:color="auto"/>
              <w:left w:val="nil"/>
              <w:bottom w:val="nil"/>
              <w:right w:val="nil"/>
            </w:tcBorders>
            <w:shd w:val="clear" w:color="auto" w:fill="auto"/>
            <w:noWrap/>
            <w:vAlign w:val="center"/>
          </w:tcPr>
          <w:p w14:paraId="6B5A6AF4"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single" w:sz="4" w:space="0" w:color="auto"/>
              <w:left w:val="nil"/>
              <w:bottom w:val="nil"/>
              <w:right w:val="single" w:sz="4" w:space="0" w:color="auto"/>
            </w:tcBorders>
            <w:shd w:val="clear" w:color="auto" w:fill="auto"/>
            <w:noWrap/>
            <w:vAlign w:val="center"/>
          </w:tcPr>
          <w:p w14:paraId="06C5F70C"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2" w:type="dxa"/>
            <w:tcBorders>
              <w:top w:val="single" w:sz="4" w:space="0" w:color="auto"/>
              <w:left w:val="single" w:sz="4" w:space="0" w:color="auto"/>
              <w:bottom w:val="nil"/>
              <w:right w:val="nil"/>
            </w:tcBorders>
            <w:vAlign w:val="center"/>
          </w:tcPr>
          <w:p w14:paraId="73A34A1E"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0.314</w:t>
            </w:r>
          </w:p>
        </w:tc>
        <w:tc>
          <w:tcPr>
            <w:tcW w:w="1702" w:type="dxa"/>
            <w:tcBorders>
              <w:top w:val="single" w:sz="4" w:space="0" w:color="auto"/>
              <w:left w:val="nil"/>
              <w:bottom w:val="nil"/>
              <w:right w:val="nil"/>
            </w:tcBorders>
            <w:shd w:val="clear" w:color="auto" w:fill="auto"/>
            <w:noWrap/>
            <w:vAlign w:val="center"/>
          </w:tcPr>
          <w:p w14:paraId="5A5F5B08"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szCs w:val="20"/>
              </w:rPr>
              <w:t>0.093</w:t>
            </w:r>
          </w:p>
        </w:tc>
        <w:tc>
          <w:tcPr>
            <w:tcW w:w="1703" w:type="dxa"/>
            <w:tcBorders>
              <w:top w:val="single" w:sz="4" w:space="0" w:color="auto"/>
              <w:left w:val="nil"/>
              <w:bottom w:val="nil"/>
              <w:right w:val="nil"/>
            </w:tcBorders>
            <w:shd w:val="clear" w:color="auto" w:fill="auto"/>
            <w:noWrap/>
            <w:vAlign w:val="center"/>
          </w:tcPr>
          <w:p w14:paraId="17341EBF" w14:textId="5AD31E6A" w:rsidR="00A97437" w:rsidRPr="00A97437" w:rsidRDefault="00A97437" w:rsidP="00A97437">
            <w:pPr>
              <w:spacing w:before="0" w:after="0" w:line="240" w:lineRule="auto"/>
              <w:jc w:val="center"/>
              <w:rPr>
                <w:rFonts w:eastAsia="Times New Roman" w:cs="Arial"/>
                <w:color w:val="000000"/>
                <w:szCs w:val="20"/>
              </w:rPr>
            </w:pPr>
            <w:r w:rsidRPr="00B75E95">
              <w:rPr>
                <w:rFonts w:cs="Arial"/>
                <w:szCs w:val="20"/>
              </w:rPr>
              <w:t>0.072</w:t>
            </w:r>
          </w:p>
        </w:tc>
      </w:tr>
      <w:tr w:rsidR="00A97437" w:rsidRPr="00FB5EE8" w14:paraId="14D63BF5" w14:textId="77777777" w:rsidTr="00B75E95">
        <w:trPr>
          <w:trHeight w:val="398"/>
        </w:trPr>
        <w:tc>
          <w:tcPr>
            <w:tcW w:w="3261" w:type="dxa"/>
            <w:tcBorders>
              <w:top w:val="nil"/>
              <w:left w:val="nil"/>
              <w:bottom w:val="single" w:sz="12" w:space="0" w:color="auto"/>
              <w:right w:val="single" w:sz="4" w:space="0" w:color="auto"/>
            </w:tcBorders>
            <w:shd w:val="clear" w:color="auto" w:fill="auto"/>
            <w:noWrap/>
            <w:vAlign w:val="center"/>
            <w:hideMark/>
          </w:tcPr>
          <w:p w14:paraId="2FBBE477" w14:textId="77777777" w:rsidR="00A97437" w:rsidRPr="00FB5EE8" w:rsidRDefault="00A97437" w:rsidP="00A97437">
            <w:pPr>
              <w:spacing w:before="0" w:after="0" w:line="240" w:lineRule="auto"/>
              <w:jc w:val="left"/>
              <w:rPr>
                <w:rFonts w:eastAsia="Times New Roman" w:cs="Arial"/>
                <w:color w:val="000000"/>
                <w:szCs w:val="20"/>
              </w:rPr>
            </w:pPr>
            <w:r w:rsidRPr="00FB5EE8">
              <w:rPr>
                <w:rFonts w:eastAsia="Times New Roman" w:cs="Arial"/>
                <w:color w:val="000000"/>
                <w:szCs w:val="20"/>
              </w:rPr>
              <w:t>MDE relative to SD</w:t>
            </w:r>
          </w:p>
        </w:tc>
        <w:tc>
          <w:tcPr>
            <w:tcW w:w="1702" w:type="dxa"/>
            <w:tcBorders>
              <w:top w:val="nil"/>
              <w:left w:val="single" w:sz="4" w:space="0" w:color="auto"/>
              <w:bottom w:val="single" w:sz="12" w:space="0" w:color="auto"/>
              <w:right w:val="nil"/>
            </w:tcBorders>
            <w:shd w:val="clear" w:color="auto" w:fill="auto"/>
            <w:noWrap/>
            <w:vAlign w:val="center"/>
          </w:tcPr>
          <w:p w14:paraId="56388671"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color w:val="000000"/>
                <w:szCs w:val="20"/>
              </w:rPr>
              <w:t>0.27</w:t>
            </w:r>
          </w:p>
        </w:tc>
        <w:tc>
          <w:tcPr>
            <w:tcW w:w="1702" w:type="dxa"/>
            <w:tcBorders>
              <w:top w:val="nil"/>
              <w:left w:val="nil"/>
              <w:bottom w:val="single" w:sz="12" w:space="0" w:color="auto"/>
              <w:right w:val="nil"/>
            </w:tcBorders>
            <w:shd w:val="clear" w:color="auto" w:fill="auto"/>
            <w:noWrap/>
            <w:vAlign w:val="center"/>
          </w:tcPr>
          <w:p w14:paraId="518A7564"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3" w:type="dxa"/>
            <w:tcBorders>
              <w:top w:val="nil"/>
              <w:left w:val="nil"/>
              <w:bottom w:val="single" w:sz="12" w:space="0" w:color="auto"/>
              <w:right w:val="single" w:sz="4" w:space="0" w:color="auto"/>
            </w:tcBorders>
            <w:shd w:val="clear" w:color="auto" w:fill="auto"/>
            <w:noWrap/>
            <w:vAlign w:val="center"/>
          </w:tcPr>
          <w:p w14:paraId="47C65D16" w14:textId="77777777" w:rsidR="00A97437" w:rsidRPr="00FB5EE8" w:rsidRDefault="00A97437" w:rsidP="00A97437">
            <w:pPr>
              <w:spacing w:before="0" w:after="0" w:line="240" w:lineRule="auto"/>
              <w:jc w:val="center"/>
              <w:rPr>
                <w:rFonts w:eastAsia="Times New Roman" w:cs="Arial"/>
                <w:color w:val="000000"/>
                <w:szCs w:val="20"/>
              </w:rPr>
            </w:pPr>
            <w:r w:rsidRPr="00FB5EE8">
              <w:rPr>
                <w:rFonts w:cs="Arial"/>
                <w:color w:val="000000"/>
                <w:szCs w:val="20"/>
              </w:rPr>
              <w:t>n/a</w:t>
            </w:r>
          </w:p>
        </w:tc>
        <w:tc>
          <w:tcPr>
            <w:tcW w:w="1702" w:type="dxa"/>
            <w:tcBorders>
              <w:top w:val="nil"/>
              <w:left w:val="single" w:sz="4" w:space="0" w:color="auto"/>
              <w:bottom w:val="single" w:sz="12" w:space="0" w:color="auto"/>
              <w:right w:val="nil"/>
            </w:tcBorders>
            <w:vAlign w:val="center"/>
          </w:tcPr>
          <w:p w14:paraId="1FEDF414" w14:textId="77777777" w:rsidR="00A97437" w:rsidRPr="00FB5EE8" w:rsidRDefault="00A97437" w:rsidP="00A97437">
            <w:pPr>
              <w:spacing w:before="0" w:after="0" w:line="240" w:lineRule="auto"/>
              <w:jc w:val="center"/>
              <w:rPr>
                <w:rFonts w:cs="Arial"/>
                <w:szCs w:val="20"/>
              </w:rPr>
            </w:pPr>
            <w:r w:rsidRPr="00B75E95">
              <w:rPr>
                <w:rFonts w:cs="Arial"/>
                <w:color w:val="000000"/>
                <w:szCs w:val="20"/>
              </w:rPr>
              <w:t>0.20</w:t>
            </w:r>
          </w:p>
        </w:tc>
        <w:tc>
          <w:tcPr>
            <w:tcW w:w="1702" w:type="dxa"/>
            <w:tcBorders>
              <w:top w:val="nil"/>
              <w:left w:val="nil"/>
              <w:bottom w:val="single" w:sz="12" w:space="0" w:color="auto"/>
              <w:right w:val="nil"/>
            </w:tcBorders>
            <w:shd w:val="clear" w:color="auto" w:fill="auto"/>
            <w:noWrap/>
            <w:vAlign w:val="center"/>
          </w:tcPr>
          <w:p w14:paraId="06B96A00" w14:textId="77777777" w:rsidR="00A97437" w:rsidRPr="00FB5EE8" w:rsidRDefault="00A97437" w:rsidP="00A97437">
            <w:pPr>
              <w:spacing w:before="0" w:after="0" w:line="240" w:lineRule="auto"/>
              <w:jc w:val="center"/>
              <w:rPr>
                <w:rFonts w:eastAsia="Times New Roman" w:cs="Arial"/>
                <w:color w:val="000000"/>
                <w:szCs w:val="20"/>
              </w:rPr>
            </w:pPr>
            <w:r w:rsidRPr="00B75E95">
              <w:rPr>
                <w:rFonts w:cs="Arial"/>
                <w:szCs w:val="20"/>
              </w:rPr>
              <w:t>0.21</w:t>
            </w:r>
          </w:p>
        </w:tc>
        <w:tc>
          <w:tcPr>
            <w:tcW w:w="1703" w:type="dxa"/>
            <w:tcBorders>
              <w:top w:val="nil"/>
              <w:left w:val="nil"/>
              <w:bottom w:val="single" w:sz="12" w:space="0" w:color="auto"/>
              <w:right w:val="nil"/>
            </w:tcBorders>
            <w:shd w:val="clear" w:color="auto" w:fill="auto"/>
            <w:noWrap/>
            <w:vAlign w:val="center"/>
          </w:tcPr>
          <w:p w14:paraId="12244776" w14:textId="46978ACC" w:rsidR="00A97437" w:rsidRPr="00A97437" w:rsidRDefault="00A97437" w:rsidP="00A97437">
            <w:pPr>
              <w:spacing w:before="0" w:after="0" w:line="240" w:lineRule="auto"/>
              <w:jc w:val="center"/>
              <w:rPr>
                <w:rFonts w:eastAsia="Times New Roman" w:cs="Arial"/>
                <w:color w:val="000000"/>
                <w:szCs w:val="20"/>
              </w:rPr>
            </w:pPr>
            <w:r w:rsidRPr="00B75E95">
              <w:rPr>
                <w:rFonts w:cs="Arial"/>
                <w:szCs w:val="20"/>
              </w:rPr>
              <w:t>0.16</w:t>
            </w:r>
          </w:p>
        </w:tc>
      </w:tr>
    </w:tbl>
    <w:p w14:paraId="79C6E16B" w14:textId="63241CA1" w:rsidR="00FB5EE8" w:rsidRPr="00FB5EE8" w:rsidRDefault="00FB5EE8" w:rsidP="00FB5EE8">
      <w:pPr>
        <w:spacing w:before="0" w:after="0" w:line="240" w:lineRule="auto"/>
        <w:rPr>
          <w:rFonts w:cs="Arial"/>
          <w:szCs w:val="20"/>
        </w:rPr>
      </w:pPr>
      <w:r w:rsidRPr="00FB5EE8">
        <w:rPr>
          <w:rFonts w:cs="Arial"/>
          <w:szCs w:val="20"/>
        </w:rPr>
        <w:t xml:space="preserve">Note: Baseline means, SDs and ICCs estimated using the </w:t>
      </w:r>
      <w:r>
        <w:rPr>
          <w:rFonts w:cs="Arial"/>
          <w:szCs w:val="20"/>
        </w:rPr>
        <w:t xml:space="preserve">(cross-sectional) </w:t>
      </w:r>
      <w:r w:rsidRPr="00FB5EE8">
        <w:rPr>
          <w:rFonts w:cs="Arial"/>
          <w:szCs w:val="20"/>
        </w:rPr>
        <w:t>baseline data.</w:t>
      </w:r>
      <w:r w:rsidR="008D43E0">
        <w:rPr>
          <w:rFonts w:cs="Arial"/>
          <w:szCs w:val="20"/>
        </w:rPr>
        <w:t xml:space="preserve"> </w:t>
      </w:r>
      <w:r w:rsidRPr="00FB5EE8">
        <w:rPr>
          <w:rFonts w:cs="Arial"/>
          <w:szCs w:val="20"/>
          <w:vertAlign w:val="superscript"/>
        </w:rPr>
        <w:t xml:space="preserve">1) </w:t>
      </w:r>
      <w:r w:rsidRPr="00FB5EE8">
        <w:rPr>
          <w:rFonts w:cs="Arial"/>
          <w:szCs w:val="20"/>
        </w:rPr>
        <w:t>Pooled treatment arms for livelihood outcomes;</w:t>
      </w:r>
      <w:r w:rsidRPr="00FB5EE8">
        <w:rPr>
          <w:rFonts w:cs="Arial"/>
          <w:szCs w:val="20"/>
          <w:vertAlign w:val="superscript"/>
        </w:rPr>
        <w:t xml:space="preserve"> 2)</w:t>
      </w:r>
      <w:r w:rsidRPr="00FB5EE8">
        <w:rPr>
          <w:rFonts w:cs="Arial"/>
          <w:szCs w:val="20"/>
        </w:rPr>
        <w:t xml:space="preserve"> Adjusted for the reduced variance in outcomes when including woreda fixed effects. </w:t>
      </w:r>
      <w:r w:rsidRPr="00FB5EE8">
        <w:rPr>
          <w:rFonts w:eastAsia="Times New Roman" w:cs="Arial"/>
          <w:color w:val="000000"/>
          <w:szCs w:val="20"/>
        </w:rPr>
        <w:t xml:space="preserve">n/a = these outcomes were not </w:t>
      </w:r>
      <w:r>
        <w:rPr>
          <w:rFonts w:eastAsia="Times New Roman" w:cs="Arial"/>
          <w:color w:val="000000"/>
          <w:szCs w:val="20"/>
        </w:rPr>
        <w:t xml:space="preserve">yet </w:t>
      </w:r>
      <w:r w:rsidRPr="00FB5EE8">
        <w:rPr>
          <w:rFonts w:eastAsia="Times New Roman" w:cs="Arial"/>
          <w:color w:val="000000"/>
          <w:szCs w:val="20"/>
        </w:rPr>
        <w:t>measured at the baseline.</w:t>
      </w:r>
    </w:p>
    <w:p w14:paraId="11F64B46" w14:textId="78E7CF6B" w:rsidR="00324748" w:rsidRDefault="00324748">
      <w:pPr>
        <w:spacing w:before="0" w:after="160" w:line="259" w:lineRule="auto"/>
        <w:jc w:val="left"/>
        <w:rPr>
          <w:rFonts w:eastAsiaTheme="majorEastAsia" w:cstheme="majorBidi"/>
          <w:b/>
          <w:sz w:val="28"/>
          <w:szCs w:val="32"/>
        </w:rPr>
      </w:pPr>
      <w:r>
        <w:br w:type="page"/>
      </w:r>
    </w:p>
    <w:bookmarkEnd w:id="45"/>
    <w:p w14:paraId="49439CF4" w14:textId="77777777" w:rsidR="00B92DDD" w:rsidRDefault="00B92DDD" w:rsidP="00A11C14">
      <w:pPr>
        <w:pStyle w:val="Heading1"/>
        <w:numPr>
          <w:ilvl w:val="0"/>
          <w:numId w:val="3"/>
        </w:numPr>
        <w:sectPr w:rsidR="00B92DDD" w:rsidSect="00B75E95">
          <w:pgSz w:w="15840" w:h="12240" w:orient="landscape"/>
          <w:pgMar w:top="1440" w:right="1440" w:bottom="1440" w:left="1440" w:header="720" w:footer="720" w:gutter="0"/>
          <w:cols w:space="720"/>
          <w:docGrid w:linePitch="360"/>
        </w:sectPr>
      </w:pPr>
    </w:p>
    <w:p w14:paraId="6CCA880D" w14:textId="47B1FAFB" w:rsidR="00334DF2" w:rsidRDefault="00334DF2" w:rsidP="00A11C14">
      <w:pPr>
        <w:pStyle w:val="Heading1"/>
        <w:numPr>
          <w:ilvl w:val="0"/>
          <w:numId w:val="3"/>
        </w:numPr>
      </w:pPr>
      <w:r>
        <w:lastRenderedPageBreak/>
        <w:t>Data</w:t>
      </w:r>
      <w:bookmarkEnd w:id="48"/>
      <w:bookmarkEnd w:id="49"/>
    </w:p>
    <w:p w14:paraId="2E412FD3" w14:textId="1F6EC98F" w:rsidR="007C77F0" w:rsidRDefault="007C77F0" w:rsidP="007C77F0">
      <w:pPr>
        <w:pStyle w:val="Heading2"/>
      </w:pPr>
      <w:bookmarkStart w:id="50" w:name="_Toc126582982"/>
      <w:r>
        <w:t>Surveys</w:t>
      </w:r>
      <w:bookmarkEnd w:id="50"/>
    </w:p>
    <w:p w14:paraId="661633B6" w14:textId="24E9C631" w:rsidR="00472715" w:rsidRPr="00204D8F" w:rsidRDefault="001C409D" w:rsidP="00472715">
      <w:r w:rsidRPr="007749B2">
        <w:t xml:space="preserve">Table </w:t>
      </w:r>
      <w:r w:rsidR="00831C3D">
        <w:t xml:space="preserve">5 </w:t>
      </w:r>
      <w:r w:rsidRPr="007749B2">
        <w:t>summarizes</w:t>
      </w:r>
      <w:r>
        <w:t xml:space="preserve"> the </w:t>
      </w:r>
      <w:r w:rsidR="00466065">
        <w:t>timeline, particularly for th</w:t>
      </w:r>
      <w:r w:rsidR="00E90895">
        <w:t xml:space="preserve">e three primary rounds of </w:t>
      </w:r>
      <w:r w:rsidR="00E90895" w:rsidRPr="00204D8F">
        <w:t>data collection</w:t>
      </w:r>
      <w:r w:rsidRPr="00204D8F">
        <w:t xml:space="preserve">. </w:t>
      </w:r>
      <w:r w:rsidR="000942F3" w:rsidRPr="00204D8F">
        <w:t xml:space="preserve">Randomization was conducted by the research team </w:t>
      </w:r>
      <w:r w:rsidR="00F60179">
        <w:t>using</w:t>
      </w:r>
      <w:r w:rsidR="00F60179" w:rsidRPr="00204D8F">
        <w:t xml:space="preserve"> </w:t>
      </w:r>
      <w:r w:rsidR="000942F3" w:rsidRPr="00204D8F">
        <w:t>Stata in June 2022.</w:t>
      </w:r>
      <w:r w:rsidR="000942F3" w:rsidRPr="00204D8F">
        <w:rPr>
          <w:rStyle w:val="FootnoteReference"/>
        </w:rPr>
        <w:footnoteReference w:id="19"/>
      </w:r>
      <w:r w:rsidR="000942F3" w:rsidRPr="00204D8F">
        <w:t xml:space="preserve"> The </w:t>
      </w:r>
      <w:r w:rsidRPr="00204D8F">
        <w:t>baseline survey was conducted between August</w:t>
      </w:r>
      <w:r w:rsidR="00466065">
        <w:t xml:space="preserve"> and </w:t>
      </w:r>
      <w:r w:rsidRPr="00204D8F">
        <w:t>October 2022</w:t>
      </w:r>
      <w:r w:rsidR="000942F3" w:rsidRPr="00204D8F">
        <w:t>, and the NCGs were</w:t>
      </w:r>
      <w:r w:rsidRPr="00204D8F">
        <w:t xml:space="preserve"> launched shortly after in </w:t>
      </w:r>
      <w:proofErr w:type="gramStart"/>
      <w:r w:rsidRPr="004575F0">
        <w:t>November,</w:t>
      </w:r>
      <w:proofErr w:type="gramEnd"/>
      <w:r w:rsidRPr="004575F0">
        <w:t xml:space="preserve"> 2022.</w:t>
      </w:r>
      <w:r w:rsidRPr="00204D8F">
        <w:t xml:space="preserve"> The midline and the endline surveys will take place exactly </w:t>
      </w:r>
      <w:r w:rsidR="00451316">
        <w:t>one</w:t>
      </w:r>
      <w:r w:rsidR="00451316" w:rsidRPr="00204D8F">
        <w:t xml:space="preserve"> </w:t>
      </w:r>
      <w:r w:rsidRPr="00204D8F">
        <w:t xml:space="preserve">and </w:t>
      </w:r>
      <w:r w:rsidR="00451316">
        <w:t>three</w:t>
      </w:r>
      <w:r w:rsidR="00451316" w:rsidRPr="00204D8F">
        <w:t xml:space="preserve"> </w:t>
      </w:r>
      <w:r w:rsidRPr="00204D8F">
        <w:t>years after the baseline survey, respectively. In these follow-up surveys, a</w:t>
      </w:r>
      <w:r w:rsidRPr="00204D8F">
        <w:rPr>
          <w:color w:val="000000"/>
        </w:rPr>
        <w:t>ll households interviewed at the baseline will be visited.</w:t>
      </w:r>
      <w:r w:rsidRPr="00204D8F">
        <w:rPr>
          <w:rStyle w:val="FootnoteReference"/>
          <w:color w:val="000000"/>
        </w:rPr>
        <w:footnoteReference w:id="20"/>
      </w:r>
      <w:r w:rsidRPr="00204D8F">
        <w:rPr>
          <w:color w:val="000000"/>
        </w:rPr>
        <w:t xml:space="preserve"> </w:t>
      </w:r>
      <w:r w:rsidR="00472715" w:rsidRPr="00204D8F">
        <w:t xml:space="preserve">All data will be collected using Computer-Assisted Personal Interviews (CAPI) methods. </w:t>
      </w:r>
    </w:p>
    <w:p w14:paraId="6F655300" w14:textId="68098E36" w:rsidR="001C409D" w:rsidRPr="00204D8F" w:rsidRDefault="001C409D" w:rsidP="00AE7CCF">
      <w:pPr>
        <w:pStyle w:val="Caption"/>
      </w:pPr>
      <w:r w:rsidRPr="00204D8F">
        <w:t xml:space="preserve">Table </w:t>
      </w:r>
      <w:fldSimple w:instr=" SEQ Table \* ARABIC ">
        <w:r w:rsidR="00F534DC">
          <w:rPr>
            <w:noProof/>
          </w:rPr>
          <w:t>5</w:t>
        </w:r>
      </w:fldSimple>
      <w:r w:rsidRPr="00204D8F">
        <w:t xml:space="preserve">. Timing of </w:t>
      </w:r>
      <w:r w:rsidR="007749B2" w:rsidRPr="00204D8F">
        <w:t>randomization, surveys, and intervention</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5443"/>
        <w:gridCol w:w="2991"/>
      </w:tblGrid>
      <w:tr w:rsidR="001C409D" w:rsidRPr="00204D8F" w14:paraId="5F91822E" w14:textId="77777777" w:rsidTr="00AE7CCF">
        <w:trPr>
          <w:trHeight w:val="328"/>
        </w:trPr>
        <w:tc>
          <w:tcPr>
            <w:tcW w:w="538" w:type="dxa"/>
            <w:tcBorders>
              <w:top w:val="single" w:sz="12" w:space="0" w:color="auto"/>
              <w:bottom w:val="single" w:sz="4" w:space="0" w:color="auto"/>
            </w:tcBorders>
          </w:tcPr>
          <w:p w14:paraId="3132D39D" w14:textId="58C98660" w:rsidR="001C409D" w:rsidRPr="00204D8F" w:rsidRDefault="001C409D" w:rsidP="00AE7CCF">
            <w:pPr>
              <w:spacing w:before="0" w:after="0" w:line="240" w:lineRule="auto"/>
              <w:rPr>
                <w:b/>
                <w:bCs/>
              </w:rPr>
            </w:pPr>
            <w:r w:rsidRPr="00204D8F">
              <w:rPr>
                <w:b/>
                <w:bCs/>
              </w:rPr>
              <w:t>#</w:t>
            </w:r>
          </w:p>
        </w:tc>
        <w:tc>
          <w:tcPr>
            <w:tcW w:w="5443" w:type="dxa"/>
            <w:tcBorders>
              <w:top w:val="single" w:sz="12" w:space="0" w:color="auto"/>
              <w:bottom w:val="single" w:sz="4" w:space="0" w:color="auto"/>
            </w:tcBorders>
          </w:tcPr>
          <w:p w14:paraId="05ECFDFD" w14:textId="69304C4A" w:rsidR="001C409D" w:rsidRPr="00204D8F" w:rsidRDefault="001C409D" w:rsidP="00AE7CCF">
            <w:pPr>
              <w:spacing w:before="0" w:after="0" w:line="240" w:lineRule="auto"/>
              <w:rPr>
                <w:b/>
                <w:bCs/>
              </w:rPr>
            </w:pPr>
            <w:r w:rsidRPr="00204D8F">
              <w:rPr>
                <w:b/>
                <w:bCs/>
              </w:rPr>
              <w:t>Action</w:t>
            </w:r>
          </w:p>
        </w:tc>
        <w:tc>
          <w:tcPr>
            <w:tcW w:w="2991" w:type="dxa"/>
            <w:tcBorders>
              <w:top w:val="single" w:sz="12" w:space="0" w:color="auto"/>
              <w:bottom w:val="single" w:sz="4" w:space="0" w:color="auto"/>
            </w:tcBorders>
          </w:tcPr>
          <w:p w14:paraId="6FD87F1E" w14:textId="468CA2B6" w:rsidR="001C409D" w:rsidRPr="00204D8F" w:rsidRDefault="001C409D" w:rsidP="00AE7CCF">
            <w:pPr>
              <w:spacing w:before="0" w:after="0" w:line="240" w:lineRule="auto"/>
              <w:rPr>
                <w:b/>
                <w:bCs/>
              </w:rPr>
            </w:pPr>
            <w:r w:rsidRPr="00204D8F">
              <w:rPr>
                <w:b/>
                <w:bCs/>
              </w:rPr>
              <w:t>Month, Year</w:t>
            </w:r>
          </w:p>
        </w:tc>
      </w:tr>
      <w:tr w:rsidR="001C409D" w:rsidRPr="00204D8F" w14:paraId="7A5808EF" w14:textId="77777777" w:rsidTr="00BF1ABE">
        <w:trPr>
          <w:trHeight w:val="328"/>
        </w:trPr>
        <w:tc>
          <w:tcPr>
            <w:tcW w:w="538" w:type="dxa"/>
            <w:tcBorders>
              <w:top w:val="single" w:sz="4" w:space="0" w:color="auto"/>
            </w:tcBorders>
            <w:vAlign w:val="center"/>
          </w:tcPr>
          <w:p w14:paraId="6C3C0848" w14:textId="2053D57F" w:rsidR="001C409D" w:rsidRPr="00204D8F" w:rsidRDefault="001C409D" w:rsidP="00BF1ABE">
            <w:pPr>
              <w:spacing w:before="0" w:after="0" w:line="240" w:lineRule="auto"/>
              <w:jc w:val="left"/>
            </w:pPr>
            <w:r w:rsidRPr="00204D8F">
              <w:t>1</w:t>
            </w:r>
          </w:p>
        </w:tc>
        <w:tc>
          <w:tcPr>
            <w:tcW w:w="5443" w:type="dxa"/>
            <w:tcBorders>
              <w:top w:val="single" w:sz="4" w:space="0" w:color="auto"/>
            </w:tcBorders>
            <w:vAlign w:val="center"/>
          </w:tcPr>
          <w:p w14:paraId="5616AFBC" w14:textId="1B3A5201" w:rsidR="001C409D" w:rsidRPr="00204D8F" w:rsidRDefault="001C409D" w:rsidP="00BF1ABE">
            <w:pPr>
              <w:spacing w:before="0" w:after="0" w:line="240" w:lineRule="auto"/>
              <w:jc w:val="left"/>
            </w:pPr>
            <w:r w:rsidRPr="00204D8F">
              <w:t xml:space="preserve">Randomization of kebeles into study arms </w:t>
            </w:r>
          </w:p>
        </w:tc>
        <w:tc>
          <w:tcPr>
            <w:tcW w:w="2991" w:type="dxa"/>
            <w:tcBorders>
              <w:top w:val="single" w:sz="4" w:space="0" w:color="auto"/>
            </w:tcBorders>
            <w:vAlign w:val="center"/>
          </w:tcPr>
          <w:p w14:paraId="3F60A99F" w14:textId="73B54271" w:rsidR="001C409D" w:rsidRPr="00204D8F" w:rsidRDefault="001C409D" w:rsidP="00BF1ABE">
            <w:pPr>
              <w:spacing w:before="0" w:after="0" w:line="240" w:lineRule="auto"/>
              <w:jc w:val="left"/>
            </w:pPr>
            <w:r w:rsidRPr="00204D8F">
              <w:t>June, 2022</w:t>
            </w:r>
          </w:p>
        </w:tc>
      </w:tr>
      <w:tr w:rsidR="001C409D" w:rsidRPr="00204D8F" w14:paraId="193157B8" w14:textId="77777777" w:rsidTr="00BF1ABE">
        <w:trPr>
          <w:trHeight w:val="328"/>
        </w:trPr>
        <w:tc>
          <w:tcPr>
            <w:tcW w:w="538" w:type="dxa"/>
            <w:vAlign w:val="center"/>
          </w:tcPr>
          <w:p w14:paraId="1E5BA04D" w14:textId="4B322AEC" w:rsidR="001C409D" w:rsidRPr="00204D8F" w:rsidRDefault="001C409D" w:rsidP="00BF1ABE">
            <w:pPr>
              <w:spacing w:before="0" w:after="0" w:line="240" w:lineRule="auto"/>
              <w:jc w:val="left"/>
            </w:pPr>
            <w:r w:rsidRPr="00204D8F">
              <w:t>2</w:t>
            </w:r>
          </w:p>
        </w:tc>
        <w:tc>
          <w:tcPr>
            <w:tcW w:w="5443" w:type="dxa"/>
            <w:vAlign w:val="center"/>
          </w:tcPr>
          <w:p w14:paraId="3C217DF8" w14:textId="0E6D3746" w:rsidR="001C409D" w:rsidRPr="00204D8F" w:rsidRDefault="001C409D" w:rsidP="00BF1ABE">
            <w:pPr>
              <w:spacing w:before="0" w:after="0" w:line="240" w:lineRule="auto"/>
              <w:jc w:val="left"/>
            </w:pPr>
            <w:r w:rsidRPr="00204D8F">
              <w:t xml:space="preserve">Baseline survey </w:t>
            </w:r>
          </w:p>
        </w:tc>
        <w:tc>
          <w:tcPr>
            <w:tcW w:w="2991" w:type="dxa"/>
            <w:vAlign w:val="center"/>
          </w:tcPr>
          <w:p w14:paraId="6BEA5E52" w14:textId="0CFD72C0" w:rsidR="001C409D" w:rsidRPr="00204D8F" w:rsidRDefault="001C409D" w:rsidP="00BF1ABE">
            <w:pPr>
              <w:spacing w:before="0" w:after="0" w:line="240" w:lineRule="auto"/>
              <w:jc w:val="left"/>
            </w:pPr>
            <w:r w:rsidRPr="00204D8F">
              <w:rPr>
                <w:color w:val="000000"/>
              </w:rPr>
              <w:t>August-October, 2022</w:t>
            </w:r>
          </w:p>
        </w:tc>
      </w:tr>
      <w:tr w:rsidR="001C409D" w14:paraId="0D10144B" w14:textId="77777777" w:rsidTr="00BF1ABE">
        <w:trPr>
          <w:trHeight w:val="328"/>
        </w:trPr>
        <w:tc>
          <w:tcPr>
            <w:tcW w:w="538" w:type="dxa"/>
            <w:vAlign w:val="center"/>
          </w:tcPr>
          <w:p w14:paraId="0903C115" w14:textId="3CE73625" w:rsidR="001C409D" w:rsidRPr="00204D8F" w:rsidRDefault="001C409D" w:rsidP="00BF1ABE">
            <w:pPr>
              <w:spacing w:before="0" w:after="0" w:line="240" w:lineRule="auto"/>
              <w:jc w:val="left"/>
            </w:pPr>
            <w:r w:rsidRPr="00204D8F">
              <w:t>4</w:t>
            </w:r>
          </w:p>
        </w:tc>
        <w:tc>
          <w:tcPr>
            <w:tcW w:w="5443" w:type="dxa"/>
            <w:vAlign w:val="center"/>
          </w:tcPr>
          <w:p w14:paraId="7012FD98" w14:textId="72F29925" w:rsidR="001C409D" w:rsidRPr="00204D8F" w:rsidRDefault="001C409D" w:rsidP="00BF1ABE">
            <w:pPr>
              <w:spacing w:before="0" w:after="0" w:line="240" w:lineRule="auto"/>
              <w:jc w:val="left"/>
            </w:pPr>
            <w:r w:rsidRPr="00204D8F">
              <w:t>Intervention begins</w:t>
            </w:r>
          </w:p>
        </w:tc>
        <w:tc>
          <w:tcPr>
            <w:tcW w:w="2991" w:type="dxa"/>
            <w:vAlign w:val="center"/>
          </w:tcPr>
          <w:p w14:paraId="2397AE8D" w14:textId="653D8125" w:rsidR="001C409D" w:rsidRDefault="001C409D" w:rsidP="00BF1ABE">
            <w:pPr>
              <w:spacing w:before="0" w:after="0" w:line="240" w:lineRule="auto"/>
              <w:jc w:val="left"/>
              <w:rPr>
                <w:color w:val="000000"/>
              </w:rPr>
            </w:pPr>
            <w:r w:rsidRPr="004575F0">
              <w:rPr>
                <w:color w:val="000000"/>
              </w:rPr>
              <w:t>November, 2022</w:t>
            </w:r>
          </w:p>
        </w:tc>
      </w:tr>
      <w:tr w:rsidR="001C409D" w14:paraId="02050D01" w14:textId="77777777" w:rsidTr="00BF1ABE">
        <w:trPr>
          <w:trHeight w:val="320"/>
        </w:trPr>
        <w:tc>
          <w:tcPr>
            <w:tcW w:w="538" w:type="dxa"/>
            <w:vAlign w:val="center"/>
          </w:tcPr>
          <w:p w14:paraId="6306F6E7" w14:textId="5EA58C01" w:rsidR="001C409D" w:rsidRDefault="001C409D" w:rsidP="00BF1ABE">
            <w:pPr>
              <w:spacing w:before="0" w:after="0" w:line="240" w:lineRule="auto"/>
              <w:jc w:val="left"/>
            </w:pPr>
            <w:r>
              <w:t>3</w:t>
            </w:r>
          </w:p>
        </w:tc>
        <w:tc>
          <w:tcPr>
            <w:tcW w:w="5443" w:type="dxa"/>
            <w:vAlign w:val="center"/>
          </w:tcPr>
          <w:p w14:paraId="1D3AE9C4" w14:textId="565DEDB8" w:rsidR="001C409D" w:rsidRDefault="001C409D" w:rsidP="00BF1ABE">
            <w:pPr>
              <w:spacing w:before="0" w:after="0" w:line="240" w:lineRule="auto"/>
              <w:jc w:val="left"/>
            </w:pPr>
            <w:r>
              <w:t>Midline survey</w:t>
            </w:r>
          </w:p>
        </w:tc>
        <w:tc>
          <w:tcPr>
            <w:tcW w:w="2991" w:type="dxa"/>
            <w:vAlign w:val="center"/>
          </w:tcPr>
          <w:p w14:paraId="7826C29E" w14:textId="2C873AC2" w:rsidR="001C409D" w:rsidRDefault="001C409D" w:rsidP="00BF1ABE">
            <w:pPr>
              <w:spacing w:before="0" w:after="0" w:line="240" w:lineRule="auto"/>
              <w:jc w:val="left"/>
              <w:rPr>
                <w:color w:val="000000"/>
              </w:rPr>
            </w:pPr>
            <w:r>
              <w:rPr>
                <w:color w:val="000000"/>
              </w:rPr>
              <w:t>August-October, 2023</w:t>
            </w:r>
          </w:p>
        </w:tc>
      </w:tr>
      <w:tr w:rsidR="001C409D" w14:paraId="5C2069BA" w14:textId="77777777" w:rsidTr="00BF1ABE">
        <w:trPr>
          <w:trHeight w:val="328"/>
        </w:trPr>
        <w:tc>
          <w:tcPr>
            <w:tcW w:w="538" w:type="dxa"/>
            <w:vAlign w:val="center"/>
          </w:tcPr>
          <w:p w14:paraId="16D09E88" w14:textId="0FF8EE43" w:rsidR="001C409D" w:rsidRDefault="001C409D" w:rsidP="00BF1ABE">
            <w:pPr>
              <w:spacing w:before="0" w:after="0" w:line="240" w:lineRule="auto"/>
              <w:jc w:val="left"/>
            </w:pPr>
            <w:r>
              <w:t>4</w:t>
            </w:r>
          </w:p>
        </w:tc>
        <w:tc>
          <w:tcPr>
            <w:tcW w:w="5443" w:type="dxa"/>
            <w:vAlign w:val="center"/>
          </w:tcPr>
          <w:p w14:paraId="5C5E7F9A" w14:textId="76A844C6" w:rsidR="001C409D" w:rsidRDefault="001C409D" w:rsidP="00BF1ABE">
            <w:pPr>
              <w:spacing w:before="0" w:after="0" w:line="240" w:lineRule="auto"/>
              <w:jc w:val="left"/>
            </w:pPr>
            <w:r>
              <w:t>Endline survey</w:t>
            </w:r>
          </w:p>
        </w:tc>
        <w:tc>
          <w:tcPr>
            <w:tcW w:w="2991" w:type="dxa"/>
            <w:vAlign w:val="center"/>
          </w:tcPr>
          <w:p w14:paraId="305230A1" w14:textId="5C1B59E0" w:rsidR="001C409D" w:rsidRDefault="001C409D" w:rsidP="00BF1ABE">
            <w:pPr>
              <w:spacing w:before="0" w:after="0" w:line="240" w:lineRule="auto"/>
              <w:jc w:val="left"/>
              <w:rPr>
                <w:color w:val="000000"/>
              </w:rPr>
            </w:pPr>
            <w:r>
              <w:rPr>
                <w:color w:val="000000"/>
              </w:rPr>
              <w:t>August-October, 2025</w:t>
            </w:r>
          </w:p>
        </w:tc>
      </w:tr>
    </w:tbl>
    <w:p w14:paraId="7B4A81E8" w14:textId="77777777" w:rsidR="001C409D" w:rsidRDefault="001C409D" w:rsidP="00E90895"/>
    <w:p w14:paraId="09BC5C59" w14:textId="6D52D250" w:rsidR="00E90895" w:rsidRDefault="00E90895" w:rsidP="00E90895">
      <w:r>
        <w:t xml:space="preserve">The timing of the survey rounds plays a critical role in </w:t>
      </w:r>
      <w:r w:rsidR="007749B2">
        <w:t xml:space="preserve">assessing the nutritional impacts of </w:t>
      </w:r>
      <w:r w:rsidR="00466065">
        <w:t>the interventions of interest</w:t>
      </w:r>
      <w:r w:rsidR="007749B2">
        <w:t xml:space="preserve"> </w:t>
      </w:r>
      <w:r w:rsidR="00434ABA">
        <w:t xml:space="preserve">(Figure </w:t>
      </w:r>
      <w:r w:rsidR="007749B2">
        <w:t>2</w:t>
      </w:r>
      <w:r w:rsidR="00434ABA">
        <w:t>)</w:t>
      </w:r>
      <w:r>
        <w:t xml:space="preserve">. The </w:t>
      </w:r>
      <w:r w:rsidR="007B3C86">
        <w:t>midline survey is optimized to allow for</w:t>
      </w:r>
      <w:r>
        <w:t xml:space="preserve"> (i) timely measurement of the impact of </w:t>
      </w:r>
      <w:r w:rsidR="00466065">
        <w:t>SPIR II</w:t>
      </w:r>
      <w:r>
        <w:t xml:space="preserve"> on child diets and IYCF practices, (ii) inclusion of process monitoring questions around household participation in </w:t>
      </w:r>
      <w:r w:rsidR="007B3C86">
        <w:t>the intervention</w:t>
      </w:r>
      <w:r>
        <w:t xml:space="preserve"> (iii) measurement of </w:t>
      </w:r>
      <w:r w:rsidR="00466065">
        <w:t>consumption while the maternal cash grant is ongoing</w:t>
      </w:r>
      <w:r>
        <w:t xml:space="preserve">. </w:t>
      </w:r>
      <w:r w:rsidR="007B3C86">
        <w:t xml:space="preserve">  </w:t>
      </w:r>
      <w:r>
        <w:t>The endline survey is planned for 2025, when the children are 30-47 months</w:t>
      </w:r>
      <w:r w:rsidR="007B3C86">
        <w:t>, to measure child growth outcomes after the main period of growth faltering has passed</w:t>
      </w:r>
      <w:r w:rsidRPr="005B550A">
        <w:t xml:space="preserve">. </w:t>
      </w:r>
    </w:p>
    <w:p w14:paraId="1A2F664D" w14:textId="599778CB" w:rsidR="00E90895" w:rsidRPr="007749B2" w:rsidRDefault="007749B2" w:rsidP="00AE7CCF">
      <w:pPr>
        <w:pStyle w:val="Caption"/>
      </w:pPr>
      <w:r w:rsidRPr="007749B2">
        <w:t xml:space="preserve">Figure </w:t>
      </w:r>
      <w:fldSimple w:instr=" SEQ Figure \* ARABIC ">
        <w:r w:rsidR="00F534DC">
          <w:rPr>
            <w:noProof/>
          </w:rPr>
          <w:t>2</w:t>
        </w:r>
      </w:fldSimple>
      <w:r w:rsidR="00E90895" w:rsidRPr="007749B2">
        <w:t>. Timing of the surveys</w:t>
      </w:r>
    </w:p>
    <w:tbl>
      <w:tblPr>
        <w:tblStyle w:val="6"/>
        <w:tblW w:w="9520" w:type="dxa"/>
        <w:tblLayout w:type="fixed"/>
        <w:tblLook w:val="0400" w:firstRow="0" w:lastRow="0" w:firstColumn="0" w:lastColumn="0" w:noHBand="0" w:noVBand="1"/>
      </w:tblPr>
      <w:tblGrid>
        <w:gridCol w:w="1188"/>
        <w:gridCol w:w="833"/>
        <w:gridCol w:w="987"/>
        <w:gridCol w:w="679"/>
        <w:gridCol w:w="1099"/>
        <w:gridCol w:w="569"/>
        <w:gridCol w:w="833"/>
        <w:gridCol w:w="833"/>
        <w:gridCol w:w="833"/>
        <w:gridCol w:w="833"/>
        <w:gridCol w:w="833"/>
      </w:tblGrid>
      <w:tr w:rsidR="00E90895" w14:paraId="0F8A6AB4" w14:textId="77777777" w:rsidTr="0029453B">
        <w:trPr>
          <w:trHeight w:val="231"/>
        </w:trPr>
        <w:tc>
          <w:tcPr>
            <w:tcW w:w="1188" w:type="dxa"/>
            <w:vMerge w:val="restart"/>
            <w:tcBorders>
              <w:top w:val="nil"/>
              <w:left w:val="nil"/>
              <w:bottom w:val="nil"/>
              <w:right w:val="nil"/>
            </w:tcBorders>
            <w:shd w:val="clear" w:color="auto" w:fill="auto"/>
            <w:vAlign w:val="center"/>
          </w:tcPr>
          <w:p w14:paraId="277469A3" w14:textId="77777777" w:rsidR="00E90895" w:rsidRDefault="00E90895" w:rsidP="00761F36">
            <w:pPr>
              <w:spacing w:before="0" w:after="0"/>
              <w:jc w:val="left"/>
              <w:rPr>
                <w:color w:val="000000"/>
                <w:sz w:val="22"/>
                <w:szCs w:val="22"/>
              </w:rPr>
            </w:pPr>
            <w:r>
              <w:rPr>
                <w:color w:val="000000"/>
                <w:sz w:val="22"/>
                <w:szCs w:val="22"/>
              </w:rPr>
              <w:t>Survey timing:</w:t>
            </w:r>
          </w:p>
        </w:tc>
        <w:tc>
          <w:tcPr>
            <w:tcW w:w="1820" w:type="dxa"/>
            <w:gridSpan w:val="2"/>
            <w:vMerge w:val="restart"/>
            <w:tcBorders>
              <w:top w:val="single" w:sz="8" w:space="0" w:color="000000"/>
              <w:left w:val="single" w:sz="8" w:space="0" w:color="000000"/>
              <w:bottom w:val="single" w:sz="8" w:space="0" w:color="000000"/>
              <w:right w:val="single" w:sz="8" w:space="0" w:color="000000"/>
            </w:tcBorders>
            <w:shd w:val="clear" w:color="auto" w:fill="FFF2CC"/>
            <w:vAlign w:val="center"/>
          </w:tcPr>
          <w:p w14:paraId="38055C5B" w14:textId="0554D54A" w:rsidR="00E90895" w:rsidRDefault="00E90895" w:rsidP="00761F36">
            <w:pPr>
              <w:spacing w:before="0" w:after="0"/>
              <w:jc w:val="center"/>
              <w:rPr>
                <w:color w:val="000000"/>
                <w:sz w:val="22"/>
                <w:szCs w:val="22"/>
              </w:rPr>
            </w:pPr>
            <w:r>
              <w:rPr>
                <w:color w:val="000000"/>
                <w:sz w:val="22"/>
                <w:szCs w:val="22"/>
              </w:rPr>
              <w:t xml:space="preserve">Baseline survey </w:t>
            </w:r>
            <w:r>
              <w:rPr>
                <w:color w:val="000000"/>
                <w:sz w:val="22"/>
                <w:szCs w:val="22"/>
              </w:rPr>
              <w:br/>
              <w:t>Aug-Oct 2022</w:t>
            </w:r>
          </w:p>
        </w:tc>
        <w:tc>
          <w:tcPr>
            <w:tcW w:w="1778" w:type="dxa"/>
            <w:gridSpan w:val="2"/>
            <w:vMerge w:val="restart"/>
            <w:tcBorders>
              <w:top w:val="single" w:sz="8" w:space="0" w:color="000000"/>
              <w:left w:val="single" w:sz="8" w:space="0" w:color="000000"/>
              <w:bottom w:val="single" w:sz="8" w:space="0" w:color="000000"/>
              <w:right w:val="single" w:sz="8" w:space="0" w:color="000000"/>
            </w:tcBorders>
            <w:shd w:val="clear" w:color="auto" w:fill="FFF2CC"/>
            <w:vAlign w:val="center"/>
          </w:tcPr>
          <w:p w14:paraId="40B4F1DA" w14:textId="168683C1" w:rsidR="00E90895" w:rsidRDefault="00E90895" w:rsidP="00761F36">
            <w:pPr>
              <w:spacing w:before="0" w:after="0"/>
              <w:jc w:val="center"/>
              <w:rPr>
                <w:color w:val="000000"/>
                <w:sz w:val="22"/>
                <w:szCs w:val="22"/>
              </w:rPr>
            </w:pPr>
            <w:r>
              <w:rPr>
                <w:color w:val="000000"/>
                <w:sz w:val="22"/>
                <w:szCs w:val="22"/>
              </w:rPr>
              <w:t xml:space="preserve">Midline survey </w:t>
            </w:r>
            <w:r>
              <w:rPr>
                <w:color w:val="000000"/>
                <w:sz w:val="22"/>
                <w:szCs w:val="22"/>
              </w:rPr>
              <w:br/>
              <w:t xml:space="preserve"> Aug-Oct 2023</w:t>
            </w:r>
          </w:p>
        </w:tc>
        <w:tc>
          <w:tcPr>
            <w:tcW w:w="569" w:type="dxa"/>
            <w:tcBorders>
              <w:top w:val="nil"/>
              <w:left w:val="nil"/>
              <w:bottom w:val="nil"/>
              <w:right w:val="nil"/>
            </w:tcBorders>
            <w:shd w:val="clear" w:color="auto" w:fill="auto"/>
            <w:vAlign w:val="bottom"/>
          </w:tcPr>
          <w:p w14:paraId="78AF11CE" w14:textId="77777777" w:rsidR="00E90895" w:rsidRDefault="00E90895" w:rsidP="00761F36">
            <w:pPr>
              <w:spacing w:before="0" w:after="0"/>
              <w:jc w:val="center"/>
              <w:rPr>
                <w:color w:val="000000"/>
                <w:sz w:val="22"/>
                <w:szCs w:val="22"/>
              </w:rPr>
            </w:pPr>
          </w:p>
        </w:tc>
        <w:tc>
          <w:tcPr>
            <w:tcW w:w="833" w:type="dxa"/>
            <w:tcBorders>
              <w:top w:val="nil"/>
              <w:left w:val="nil"/>
              <w:bottom w:val="nil"/>
              <w:right w:val="nil"/>
            </w:tcBorders>
            <w:shd w:val="clear" w:color="auto" w:fill="auto"/>
            <w:vAlign w:val="bottom"/>
          </w:tcPr>
          <w:p w14:paraId="6F4B1554" w14:textId="77777777" w:rsidR="00E90895" w:rsidRDefault="00E90895" w:rsidP="00761F36">
            <w:pPr>
              <w:spacing w:before="0" w:after="0"/>
              <w:jc w:val="center"/>
              <w:rPr>
                <w:szCs w:val="20"/>
              </w:rPr>
            </w:pPr>
          </w:p>
        </w:tc>
        <w:tc>
          <w:tcPr>
            <w:tcW w:w="1666" w:type="dxa"/>
            <w:gridSpan w:val="2"/>
            <w:vMerge w:val="restart"/>
            <w:tcBorders>
              <w:top w:val="nil"/>
              <w:left w:val="nil"/>
              <w:bottom w:val="nil"/>
              <w:right w:val="single" w:sz="4" w:space="0" w:color="000000"/>
            </w:tcBorders>
            <w:shd w:val="clear" w:color="auto" w:fill="auto"/>
            <w:vAlign w:val="bottom"/>
          </w:tcPr>
          <w:p w14:paraId="2E7E1D58" w14:textId="77777777" w:rsidR="00E90895" w:rsidRDefault="00E90895" w:rsidP="00761F36">
            <w:pPr>
              <w:spacing w:before="0" w:after="0"/>
              <w:jc w:val="center"/>
              <w:rPr>
                <w:szCs w:val="20"/>
              </w:rPr>
            </w:pPr>
          </w:p>
        </w:tc>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37388D1D" w14:textId="648E953D" w:rsidR="00E90895" w:rsidRDefault="00E90895" w:rsidP="00761F36">
            <w:pPr>
              <w:spacing w:before="0" w:after="0"/>
              <w:jc w:val="center"/>
              <w:rPr>
                <w:color w:val="000000"/>
                <w:sz w:val="22"/>
                <w:szCs w:val="22"/>
              </w:rPr>
            </w:pPr>
            <w:r>
              <w:rPr>
                <w:color w:val="000000"/>
                <w:sz w:val="22"/>
                <w:szCs w:val="22"/>
              </w:rPr>
              <w:t xml:space="preserve">Endline survey </w:t>
            </w:r>
            <w:r>
              <w:rPr>
                <w:color w:val="000000"/>
                <w:sz w:val="22"/>
                <w:szCs w:val="22"/>
              </w:rPr>
              <w:br/>
              <w:t>Aug-Oct 2025</w:t>
            </w:r>
          </w:p>
        </w:tc>
      </w:tr>
      <w:tr w:rsidR="00E90895" w14:paraId="17CD379F" w14:textId="77777777" w:rsidTr="0029453B">
        <w:trPr>
          <w:trHeight w:val="241"/>
        </w:trPr>
        <w:tc>
          <w:tcPr>
            <w:tcW w:w="1188" w:type="dxa"/>
            <w:vMerge/>
            <w:tcBorders>
              <w:top w:val="nil"/>
              <w:left w:val="nil"/>
              <w:bottom w:val="nil"/>
              <w:right w:val="nil"/>
            </w:tcBorders>
            <w:shd w:val="clear" w:color="auto" w:fill="auto"/>
            <w:vAlign w:val="center"/>
          </w:tcPr>
          <w:p w14:paraId="4C2C34B6" w14:textId="77777777" w:rsidR="00E90895" w:rsidRDefault="00E90895" w:rsidP="00761F36">
            <w:pPr>
              <w:widowControl w:val="0"/>
              <w:pBdr>
                <w:top w:val="nil"/>
                <w:left w:val="nil"/>
                <w:bottom w:val="nil"/>
                <w:right w:val="nil"/>
                <w:between w:val="nil"/>
              </w:pBdr>
              <w:spacing w:before="0" w:after="0" w:line="276" w:lineRule="auto"/>
              <w:jc w:val="left"/>
              <w:rPr>
                <w:color w:val="000000"/>
                <w:sz w:val="22"/>
                <w:szCs w:val="22"/>
              </w:rPr>
            </w:pPr>
          </w:p>
        </w:tc>
        <w:tc>
          <w:tcPr>
            <w:tcW w:w="1820" w:type="dxa"/>
            <w:gridSpan w:val="2"/>
            <w:vMerge/>
            <w:tcBorders>
              <w:top w:val="single" w:sz="8" w:space="0" w:color="000000"/>
              <w:left w:val="single" w:sz="8" w:space="0" w:color="000000"/>
              <w:bottom w:val="single" w:sz="8" w:space="0" w:color="000000"/>
              <w:right w:val="single" w:sz="8" w:space="0" w:color="000000"/>
            </w:tcBorders>
            <w:shd w:val="clear" w:color="auto" w:fill="FFF2CC"/>
            <w:vAlign w:val="center"/>
          </w:tcPr>
          <w:p w14:paraId="56EF023B" w14:textId="77777777" w:rsidR="00E90895" w:rsidRDefault="00E90895" w:rsidP="00761F36">
            <w:pPr>
              <w:widowControl w:val="0"/>
              <w:pBdr>
                <w:top w:val="nil"/>
                <w:left w:val="nil"/>
                <w:bottom w:val="nil"/>
                <w:right w:val="nil"/>
                <w:between w:val="nil"/>
              </w:pBdr>
              <w:spacing w:before="0" w:after="0" w:line="276" w:lineRule="auto"/>
              <w:jc w:val="left"/>
              <w:rPr>
                <w:color w:val="000000"/>
                <w:sz w:val="22"/>
                <w:szCs w:val="22"/>
              </w:rPr>
            </w:pPr>
          </w:p>
        </w:tc>
        <w:tc>
          <w:tcPr>
            <w:tcW w:w="1778" w:type="dxa"/>
            <w:gridSpan w:val="2"/>
            <w:vMerge/>
            <w:tcBorders>
              <w:top w:val="single" w:sz="8" w:space="0" w:color="000000"/>
              <w:left w:val="single" w:sz="8" w:space="0" w:color="000000"/>
              <w:bottom w:val="single" w:sz="8" w:space="0" w:color="000000"/>
              <w:right w:val="single" w:sz="8" w:space="0" w:color="000000"/>
            </w:tcBorders>
            <w:shd w:val="clear" w:color="auto" w:fill="FFF2CC"/>
            <w:vAlign w:val="center"/>
          </w:tcPr>
          <w:p w14:paraId="2A3582A7" w14:textId="77777777" w:rsidR="00E90895" w:rsidRDefault="00E90895" w:rsidP="00761F36">
            <w:pPr>
              <w:widowControl w:val="0"/>
              <w:pBdr>
                <w:top w:val="nil"/>
                <w:left w:val="nil"/>
                <w:bottom w:val="nil"/>
                <w:right w:val="nil"/>
                <w:between w:val="nil"/>
              </w:pBdr>
              <w:spacing w:before="0" w:after="0" w:line="276" w:lineRule="auto"/>
              <w:jc w:val="left"/>
              <w:rPr>
                <w:color w:val="000000"/>
                <w:sz w:val="22"/>
                <w:szCs w:val="22"/>
              </w:rPr>
            </w:pPr>
          </w:p>
        </w:tc>
        <w:tc>
          <w:tcPr>
            <w:tcW w:w="569" w:type="dxa"/>
            <w:tcBorders>
              <w:top w:val="nil"/>
              <w:left w:val="nil"/>
              <w:bottom w:val="nil"/>
              <w:right w:val="nil"/>
            </w:tcBorders>
            <w:shd w:val="clear" w:color="auto" w:fill="auto"/>
            <w:vAlign w:val="bottom"/>
          </w:tcPr>
          <w:p w14:paraId="61E205C0" w14:textId="77777777" w:rsidR="00E90895" w:rsidRDefault="00E90895" w:rsidP="00761F36">
            <w:pPr>
              <w:spacing w:before="0" w:after="0"/>
              <w:jc w:val="center"/>
              <w:rPr>
                <w:color w:val="000000"/>
                <w:sz w:val="22"/>
                <w:szCs w:val="22"/>
              </w:rPr>
            </w:pPr>
          </w:p>
        </w:tc>
        <w:tc>
          <w:tcPr>
            <w:tcW w:w="833" w:type="dxa"/>
            <w:tcBorders>
              <w:top w:val="nil"/>
              <w:left w:val="nil"/>
              <w:bottom w:val="nil"/>
              <w:right w:val="nil"/>
            </w:tcBorders>
            <w:shd w:val="clear" w:color="auto" w:fill="auto"/>
            <w:vAlign w:val="bottom"/>
          </w:tcPr>
          <w:p w14:paraId="370382B9" w14:textId="77777777" w:rsidR="00E90895" w:rsidRDefault="00E90895" w:rsidP="00761F36">
            <w:pPr>
              <w:spacing w:before="0" w:after="0"/>
              <w:jc w:val="center"/>
              <w:rPr>
                <w:szCs w:val="20"/>
              </w:rPr>
            </w:pPr>
          </w:p>
        </w:tc>
        <w:tc>
          <w:tcPr>
            <w:tcW w:w="1666" w:type="dxa"/>
            <w:gridSpan w:val="2"/>
            <w:vMerge/>
            <w:tcBorders>
              <w:top w:val="nil"/>
              <w:left w:val="nil"/>
              <w:bottom w:val="nil"/>
              <w:right w:val="single" w:sz="4" w:space="0" w:color="000000"/>
            </w:tcBorders>
            <w:shd w:val="clear" w:color="auto" w:fill="auto"/>
            <w:vAlign w:val="bottom"/>
          </w:tcPr>
          <w:p w14:paraId="1CBAC33C" w14:textId="77777777" w:rsidR="00E90895" w:rsidRDefault="00E90895" w:rsidP="00761F36">
            <w:pPr>
              <w:widowControl w:val="0"/>
              <w:pBdr>
                <w:top w:val="nil"/>
                <w:left w:val="nil"/>
                <w:bottom w:val="nil"/>
                <w:right w:val="nil"/>
                <w:between w:val="nil"/>
              </w:pBdr>
              <w:spacing w:before="0" w:after="0" w:line="276" w:lineRule="auto"/>
              <w:jc w:val="left"/>
              <w:rPr>
                <w:szCs w:val="20"/>
              </w:rPr>
            </w:pPr>
          </w:p>
        </w:tc>
        <w:tc>
          <w:tcPr>
            <w:tcW w:w="1666" w:type="dxa"/>
            <w:gridSpan w:val="2"/>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43E087F9" w14:textId="77777777" w:rsidR="00E90895" w:rsidRDefault="00E90895" w:rsidP="00761F36">
            <w:pPr>
              <w:widowControl w:val="0"/>
              <w:pBdr>
                <w:top w:val="nil"/>
                <w:left w:val="nil"/>
                <w:bottom w:val="nil"/>
                <w:right w:val="nil"/>
                <w:between w:val="nil"/>
              </w:pBdr>
              <w:spacing w:before="0" w:after="0" w:line="276" w:lineRule="auto"/>
              <w:jc w:val="left"/>
              <w:rPr>
                <w:szCs w:val="20"/>
              </w:rPr>
            </w:pPr>
          </w:p>
        </w:tc>
      </w:tr>
      <w:tr w:rsidR="00E90895" w14:paraId="205C6BC6" w14:textId="77777777" w:rsidTr="0029453B">
        <w:trPr>
          <w:trHeight w:val="231"/>
        </w:trPr>
        <w:tc>
          <w:tcPr>
            <w:tcW w:w="1188" w:type="dxa"/>
            <w:tcBorders>
              <w:top w:val="nil"/>
              <w:left w:val="nil"/>
              <w:bottom w:val="nil"/>
              <w:right w:val="nil"/>
            </w:tcBorders>
            <w:shd w:val="clear" w:color="auto" w:fill="auto"/>
            <w:vAlign w:val="bottom"/>
          </w:tcPr>
          <w:p w14:paraId="36DB9246" w14:textId="77777777" w:rsidR="00E90895" w:rsidRDefault="00E90895" w:rsidP="00761F36">
            <w:pPr>
              <w:spacing w:before="0" w:after="0"/>
              <w:jc w:val="center"/>
              <w:rPr>
                <w:szCs w:val="20"/>
              </w:rPr>
            </w:pPr>
          </w:p>
        </w:tc>
        <w:tc>
          <w:tcPr>
            <w:tcW w:w="3598" w:type="dxa"/>
            <w:gridSpan w:val="4"/>
            <w:tcBorders>
              <w:top w:val="nil"/>
              <w:left w:val="nil"/>
              <w:bottom w:val="nil"/>
              <w:right w:val="nil"/>
            </w:tcBorders>
            <w:shd w:val="clear" w:color="auto" w:fill="auto"/>
            <w:vAlign w:val="bottom"/>
          </w:tcPr>
          <w:p w14:paraId="20875429" w14:textId="21FE1491" w:rsidR="00E90895" w:rsidRPr="00703EBF" w:rsidRDefault="00E90895" w:rsidP="00761F36">
            <w:pPr>
              <w:spacing w:before="0" w:after="0"/>
              <w:jc w:val="center"/>
              <w:rPr>
                <w:b/>
                <w:bCs/>
                <w:szCs w:val="20"/>
              </w:rPr>
            </w:pPr>
            <w:r w:rsidRPr="00703EBF">
              <w:rPr>
                <w:b/>
                <w:bCs/>
                <w:szCs w:val="20"/>
              </w:rPr>
              <w:t xml:space="preserve">NCG launch: </w:t>
            </w:r>
            <w:r>
              <w:rPr>
                <w:b/>
                <w:bCs/>
                <w:szCs w:val="20"/>
              </w:rPr>
              <w:t>November</w:t>
            </w:r>
            <w:r w:rsidRPr="00703EBF">
              <w:rPr>
                <w:b/>
                <w:bCs/>
                <w:szCs w:val="20"/>
              </w:rPr>
              <w:t xml:space="preserve"> 2022</w:t>
            </w:r>
          </w:p>
        </w:tc>
        <w:tc>
          <w:tcPr>
            <w:tcW w:w="569" w:type="dxa"/>
            <w:tcBorders>
              <w:top w:val="nil"/>
              <w:left w:val="nil"/>
              <w:bottom w:val="nil"/>
              <w:right w:val="nil"/>
            </w:tcBorders>
            <w:shd w:val="clear" w:color="auto" w:fill="auto"/>
            <w:vAlign w:val="bottom"/>
          </w:tcPr>
          <w:p w14:paraId="02B45C60"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5C487A2F"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63843677"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622A5875" w14:textId="77777777" w:rsidR="00E90895" w:rsidRDefault="00E90895" w:rsidP="00761F36">
            <w:pPr>
              <w:spacing w:before="0" w:after="0"/>
              <w:jc w:val="left"/>
              <w:rPr>
                <w:szCs w:val="20"/>
              </w:rPr>
            </w:pPr>
          </w:p>
        </w:tc>
        <w:tc>
          <w:tcPr>
            <w:tcW w:w="833" w:type="dxa"/>
            <w:tcBorders>
              <w:top w:val="single" w:sz="4" w:space="0" w:color="000000"/>
              <w:left w:val="nil"/>
              <w:bottom w:val="nil"/>
              <w:right w:val="nil"/>
            </w:tcBorders>
            <w:shd w:val="clear" w:color="auto" w:fill="auto"/>
            <w:vAlign w:val="bottom"/>
          </w:tcPr>
          <w:p w14:paraId="0D90698F" w14:textId="77777777" w:rsidR="00E90895" w:rsidRDefault="00E90895" w:rsidP="00761F36">
            <w:pPr>
              <w:spacing w:before="0" w:after="0"/>
              <w:jc w:val="left"/>
              <w:rPr>
                <w:szCs w:val="20"/>
              </w:rPr>
            </w:pPr>
          </w:p>
        </w:tc>
        <w:tc>
          <w:tcPr>
            <w:tcW w:w="833" w:type="dxa"/>
            <w:tcBorders>
              <w:top w:val="single" w:sz="4" w:space="0" w:color="000000"/>
              <w:left w:val="nil"/>
              <w:bottom w:val="nil"/>
              <w:right w:val="nil"/>
            </w:tcBorders>
            <w:shd w:val="clear" w:color="auto" w:fill="auto"/>
            <w:vAlign w:val="bottom"/>
          </w:tcPr>
          <w:p w14:paraId="782E3962" w14:textId="77777777" w:rsidR="00E90895" w:rsidRDefault="00E90895" w:rsidP="00761F36">
            <w:pPr>
              <w:spacing w:before="0" w:after="0"/>
              <w:jc w:val="left"/>
              <w:rPr>
                <w:szCs w:val="20"/>
              </w:rPr>
            </w:pPr>
          </w:p>
        </w:tc>
      </w:tr>
      <w:tr w:rsidR="00E90895" w14:paraId="6842D33E" w14:textId="77777777" w:rsidTr="0029453B">
        <w:trPr>
          <w:trHeight w:val="231"/>
        </w:trPr>
        <w:tc>
          <w:tcPr>
            <w:tcW w:w="1188" w:type="dxa"/>
            <w:tcBorders>
              <w:top w:val="nil"/>
              <w:left w:val="nil"/>
              <w:bottom w:val="nil"/>
              <w:right w:val="nil"/>
            </w:tcBorders>
            <w:shd w:val="clear" w:color="auto" w:fill="auto"/>
            <w:vAlign w:val="bottom"/>
          </w:tcPr>
          <w:p w14:paraId="149F587C" w14:textId="77777777" w:rsidR="00E90895" w:rsidRDefault="00E90895" w:rsidP="00761F36">
            <w:pPr>
              <w:spacing w:before="0" w:after="0"/>
              <w:jc w:val="left"/>
              <w:rPr>
                <w:szCs w:val="20"/>
              </w:rPr>
            </w:pPr>
          </w:p>
        </w:tc>
        <w:tc>
          <w:tcPr>
            <w:tcW w:w="833" w:type="dxa"/>
            <w:tcBorders>
              <w:top w:val="nil"/>
              <w:left w:val="single" w:sz="4" w:space="0" w:color="000000"/>
              <w:bottom w:val="single" w:sz="4" w:space="0" w:color="000000"/>
              <w:right w:val="nil"/>
            </w:tcBorders>
            <w:shd w:val="clear" w:color="auto" w:fill="auto"/>
            <w:vAlign w:val="bottom"/>
          </w:tcPr>
          <w:p w14:paraId="40124073" w14:textId="77777777" w:rsidR="00E90895" w:rsidRDefault="00E90895" w:rsidP="00761F36">
            <w:pPr>
              <w:spacing w:before="0" w:after="0"/>
              <w:jc w:val="left"/>
              <w:rPr>
                <w:color w:val="000000"/>
                <w:sz w:val="22"/>
                <w:szCs w:val="22"/>
              </w:rPr>
            </w:pPr>
            <w:r>
              <w:rPr>
                <w:color w:val="000000"/>
                <w:sz w:val="22"/>
                <w:szCs w:val="22"/>
              </w:rPr>
              <w:t> </w:t>
            </w:r>
          </w:p>
        </w:tc>
        <w:tc>
          <w:tcPr>
            <w:tcW w:w="987" w:type="dxa"/>
            <w:tcBorders>
              <w:top w:val="nil"/>
              <w:left w:val="nil"/>
              <w:bottom w:val="single" w:sz="4" w:space="0" w:color="000000"/>
              <w:right w:val="single" w:sz="4" w:space="0" w:color="000000"/>
            </w:tcBorders>
            <w:shd w:val="clear" w:color="auto" w:fill="auto"/>
            <w:vAlign w:val="bottom"/>
          </w:tcPr>
          <w:p w14:paraId="173F467C" w14:textId="77777777" w:rsidR="00E90895" w:rsidRDefault="00E90895" w:rsidP="00761F36">
            <w:pPr>
              <w:spacing w:before="0" w:after="0"/>
              <w:jc w:val="left"/>
              <w:rPr>
                <w:color w:val="000000"/>
                <w:sz w:val="22"/>
                <w:szCs w:val="22"/>
              </w:rPr>
            </w:pPr>
            <w:r>
              <w:rPr>
                <w:color w:val="000000"/>
                <w:sz w:val="22"/>
                <w:szCs w:val="22"/>
              </w:rPr>
              <w:t> </w:t>
            </w:r>
          </w:p>
        </w:tc>
        <w:tc>
          <w:tcPr>
            <w:tcW w:w="679" w:type="dxa"/>
            <w:tcBorders>
              <w:top w:val="nil"/>
              <w:left w:val="nil"/>
              <w:bottom w:val="single" w:sz="4" w:space="0" w:color="000000"/>
              <w:right w:val="nil"/>
            </w:tcBorders>
            <w:shd w:val="clear" w:color="auto" w:fill="auto"/>
            <w:vAlign w:val="bottom"/>
          </w:tcPr>
          <w:p w14:paraId="717FBA31" w14:textId="77777777" w:rsidR="00E90895" w:rsidRDefault="00E90895" w:rsidP="00761F36">
            <w:pPr>
              <w:spacing w:before="0" w:after="0"/>
              <w:jc w:val="left"/>
              <w:rPr>
                <w:color w:val="000000"/>
                <w:sz w:val="22"/>
                <w:szCs w:val="22"/>
              </w:rPr>
            </w:pPr>
            <w:r>
              <w:rPr>
                <w:color w:val="000000"/>
                <w:sz w:val="22"/>
                <w:szCs w:val="22"/>
              </w:rPr>
              <w:t> </w:t>
            </w:r>
          </w:p>
        </w:tc>
        <w:tc>
          <w:tcPr>
            <w:tcW w:w="1098" w:type="dxa"/>
            <w:tcBorders>
              <w:top w:val="nil"/>
              <w:left w:val="nil"/>
              <w:bottom w:val="single" w:sz="4" w:space="0" w:color="000000"/>
              <w:right w:val="single" w:sz="4" w:space="0" w:color="000000"/>
            </w:tcBorders>
            <w:shd w:val="clear" w:color="auto" w:fill="auto"/>
            <w:vAlign w:val="bottom"/>
          </w:tcPr>
          <w:p w14:paraId="4C16DE04" w14:textId="77777777" w:rsidR="00E90895" w:rsidRDefault="00E90895" w:rsidP="00761F36">
            <w:pPr>
              <w:spacing w:before="0" w:after="0"/>
              <w:jc w:val="left"/>
              <w:rPr>
                <w:color w:val="000000"/>
                <w:sz w:val="22"/>
                <w:szCs w:val="22"/>
              </w:rPr>
            </w:pPr>
            <w:r>
              <w:rPr>
                <w:color w:val="000000"/>
                <w:sz w:val="22"/>
                <w:szCs w:val="22"/>
              </w:rPr>
              <w:t> </w:t>
            </w:r>
          </w:p>
        </w:tc>
        <w:tc>
          <w:tcPr>
            <w:tcW w:w="569" w:type="dxa"/>
            <w:tcBorders>
              <w:top w:val="nil"/>
              <w:left w:val="nil"/>
              <w:bottom w:val="single" w:sz="4" w:space="0" w:color="000000"/>
              <w:right w:val="nil"/>
            </w:tcBorders>
            <w:shd w:val="clear" w:color="auto" w:fill="auto"/>
            <w:vAlign w:val="bottom"/>
          </w:tcPr>
          <w:p w14:paraId="24500ECE"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single" w:sz="4" w:space="0" w:color="000000"/>
              <w:right w:val="nil"/>
            </w:tcBorders>
            <w:shd w:val="clear" w:color="auto" w:fill="auto"/>
            <w:vAlign w:val="bottom"/>
          </w:tcPr>
          <w:p w14:paraId="2E54B606"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single" w:sz="4" w:space="0" w:color="000000"/>
              <w:right w:val="nil"/>
            </w:tcBorders>
            <w:shd w:val="clear" w:color="auto" w:fill="auto"/>
            <w:vAlign w:val="bottom"/>
          </w:tcPr>
          <w:p w14:paraId="02D7DF12"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single" w:sz="4" w:space="0" w:color="000000"/>
              <w:right w:val="nil"/>
            </w:tcBorders>
            <w:shd w:val="clear" w:color="auto" w:fill="auto"/>
            <w:vAlign w:val="bottom"/>
          </w:tcPr>
          <w:p w14:paraId="2E9575AE"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single" w:sz="4" w:space="0" w:color="000000"/>
              <w:bottom w:val="single" w:sz="4" w:space="0" w:color="000000"/>
              <w:right w:val="nil"/>
            </w:tcBorders>
            <w:shd w:val="clear" w:color="auto" w:fill="auto"/>
            <w:vAlign w:val="bottom"/>
          </w:tcPr>
          <w:p w14:paraId="36D05A46"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single" w:sz="4" w:space="0" w:color="000000"/>
              <w:right w:val="single" w:sz="4" w:space="0" w:color="000000"/>
            </w:tcBorders>
            <w:shd w:val="clear" w:color="auto" w:fill="auto"/>
            <w:vAlign w:val="bottom"/>
          </w:tcPr>
          <w:p w14:paraId="7223F389" w14:textId="77777777" w:rsidR="00E90895" w:rsidRDefault="00E90895" w:rsidP="00761F36">
            <w:pPr>
              <w:spacing w:before="0" w:after="0"/>
              <w:jc w:val="left"/>
              <w:rPr>
                <w:color w:val="000000"/>
                <w:sz w:val="22"/>
                <w:szCs w:val="22"/>
              </w:rPr>
            </w:pPr>
            <w:r>
              <w:rPr>
                <w:color w:val="000000"/>
                <w:sz w:val="22"/>
                <w:szCs w:val="22"/>
              </w:rPr>
              <w:t> </w:t>
            </w:r>
          </w:p>
        </w:tc>
      </w:tr>
      <w:tr w:rsidR="00E90895" w14:paraId="0D888AD2" w14:textId="77777777" w:rsidTr="0029453B">
        <w:trPr>
          <w:trHeight w:val="231"/>
        </w:trPr>
        <w:tc>
          <w:tcPr>
            <w:tcW w:w="1188" w:type="dxa"/>
            <w:tcBorders>
              <w:top w:val="nil"/>
              <w:left w:val="nil"/>
              <w:bottom w:val="nil"/>
              <w:right w:val="nil"/>
            </w:tcBorders>
            <w:shd w:val="clear" w:color="auto" w:fill="auto"/>
            <w:vAlign w:val="bottom"/>
          </w:tcPr>
          <w:p w14:paraId="66AED0C1" w14:textId="77777777" w:rsidR="00E90895" w:rsidRDefault="00E90895" w:rsidP="00761F36">
            <w:pPr>
              <w:spacing w:before="0" w:after="0"/>
              <w:jc w:val="left"/>
              <w:rPr>
                <w:color w:val="000000"/>
                <w:sz w:val="22"/>
                <w:szCs w:val="22"/>
              </w:rPr>
            </w:pPr>
          </w:p>
        </w:tc>
        <w:tc>
          <w:tcPr>
            <w:tcW w:w="833" w:type="dxa"/>
            <w:tcBorders>
              <w:top w:val="nil"/>
              <w:left w:val="single" w:sz="4" w:space="0" w:color="000000"/>
              <w:bottom w:val="nil"/>
              <w:right w:val="nil"/>
            </w:tcBorders>
            <w:shd w:val="clear" w:color="auto" w:fill="auto"/>
            <w:vAlign w:val="bottom"/>
          </w:tcPr>
          <w:p w14:paraId="5B8B7725" w14:textId="77777777" w:rsidR="00E90895" w:rsidRDefault="00E90895" w:rsidP="00761F36">
            <w:pPr>
              <w:spacing w:before="0" w:after="0"/>
              <w:jc w:val="left"/>
              <w:rPr>
                <w:color w:val="000000"/>
                <w:sz w:val="22"/>
                <w:szCs w:val="22"/>
              </w:rPr>
            </w:pPr>
            <w:r>
              <w:rPr>
                <w:color w:val="000000"/>
                <w:sz w:val="22"/>
                <w:szCs w:val="22"/>
              </w:rPr>
              <w:t> </w:t>
            </w:r>
          </w:p>
        </w:tc>
        <w:tc>
          <w:tcPr>
            <w:tcW w:w="987" w:type="dxa"/>
            <w:tcBorders>
              <w:top w:val="nil"/>
              <w:left w:val="nil"/>
              <w:bottom w:val="nil"/>
              <w:right w:val="single" w:sz="4" w:space="0" w:color="000000"/>
            </w:tcBorders>
            <w:shd w:val="clear" w:color="auto" w:fill="auto"/>
            <w:vAlign w:val="bottom"/>
          </w:tcPr>
          <w:p w14:paraId="1066AA06" w14:textId="77777777" w:rsidR="00E90895" w:rsidRDefault="00E90895" w:rsidP="00761F36">
            <w:pPr>
              <w:spacing w:before="0" w:after="0"/>
              <w:jc w:val="left"/>
              <w:rPr>
                <w:color w:val="000000"/>
                <w:sz w:val="22"/>
                <w:szCs w:val="22"/>
              </w:rPr>
            </w:pPr>
            <w:r>
              <w:rPr>
                <w:color w:val="000000"/>
                <w:sz w:val="22"/>
                <w:szCs w:val="22"/>
              </w:rPr>
              <w:t> </w:t>
            </w:r>
          </w:p>
        </w:tc>
        <w:tc>
          <w:tcPr>
            <w:tcW w:w="679" w:type="dxa"/>
            <w:tcBorders>
              <w:top w:val="nil"/>
              <w:left w:val="nil"/>
              <w:bottom w:val="nil"/>
              <w:right w:val="nil"/>
            </w:tcBorders>
            <w:shd w:val="clear" w:color="auto" w:fill="auto"/>
            <w:vAlign w:val="bottom"/>
          </w:tcPr>
          <w:p w14:paraId="4D956B04" w14:textId="77777777" w:rsidR="00E90895" w:rsidRDefault="00E90895" w:rsidP="00761F36">
            <w:pPr>
              <w:spacing w:before="0" w:after="0"/>
              <w:jc w:val="left"/>
              <w:rPr>
                <w:color w:val="000000"/>
                <w:sz w:val="22"/>
                <w:szCs w:val="22"/>
              </w:rPr>
            </w:pPr>
            <w:r>
              <w:rPr>
                <w:color w:val="000000"/>
                <w:sz w:val="22"/>
                <w:szCs w:val="22"/>
              </w:rPr>
              <w:t> </w:t>
            </w:r>
          </w:p>
        </w:tc>
        <w:tc>
          <w:tcPr>
            <w:tcW w:w="1098" w:type="dxa"/>
            <w:tcBorders>
              <w:top w:val="nil"/>
              <w:left w:val="nil"/>
              <w:bottom w:val="nil"/>
              <w:right w:val="single" w:sz="4" w:space="0" w:color="000000"/>
            </w:tcBorders>
            <w:shd w:val="clear" w:color="auto" w:fill="auto"/>
            <w:vAlign w:val="bottom"/>
          </w:tcPr>
          <w:p w14:paraId="78375330" w14:textId="77777777" w:rsidR="00E90895" w:rsidRDefault="00E90895" w:rsidP="00761F36">
            <w:pPr>
              <w:spacing w:before="0" w:after="0"/>
              <w:jc w:val="left"/>
              <w:rPr>
                <w:color w:val="000000"/>
                <w:sz w:val="22"/>
                <w:szCs w:val="22"/>
              </w:rPr>
            </w:pPr>
            <w:r>
              <w:rPr>
                <w:color w:val="000000"/>
                <w:sz w:val="22"/>
                <w:szCs w:val="22"/>
              </w:rPr>
              <w:t> </w:t>
            </w:r>
          </w:p>
        </w:tc>
        <w:tc>
          <w:tcPr>
            <w:tcW w:w="569" w:type="dxa"/>
            <w:tcBorders>
              <w:top w:val="nil"/>
              <w:left w:val="nil"/>
              <w:bottom w:val="nil"/>
              <w:right w:val="nil"/>
            </w:tcBorders>
            <w:shd w:val="clear" w:color="auto" w:fill="auto"/>
            <w:vAlign w:val="bottom"/>
          </w:tcPr>
          <w:p w14:paraId="7D7F575D"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nil"/>
              <w:right w:val="nil"/>
            </w:tcBorders>
            <w:shd w:val="clear" w:color="auto" w:fill="auto"/>
            <w:vAlign w:val="bottom"/>
          </w:tcPr>
          <w:p w14:paraId="19477F9A"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nil"/>
              <w:right w:val="nil"/>
            </w:tcBorders>
            <w:shd w:val="clear" w:color="auto" w:fill="auto"/>
            <w:vAlign w:val="bottom"/>
          </w:tcPr>
          <w:p w14:paraId="66F6F150"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nil"/>
              <w:right w:val="nil"/>
            </w:tcBorders>
            <w:shd w:val="clear" w:color="auto" w:fill="auto"/>
            <w:vAlign w:val="bottom"/>
          </w:tcPr>
          <w:p w14:paraId="2A947703"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single" w:sz="4" w:space="0" w:color="000000"/>
              <w:bottom w:val="nil"/>
              <w:right w:val="nil"/>
            </w:tcBorders>
            <w:shd w:val="clear" w:color="auto" w:fill="auto"/>
            <w:vAlign w:val="bottom"/>
          </w:tcPr>
          <w:p w14:paraId="1CA6659D" w14:textId="77777777" w:rsidR="00E90895" w:rsidRDefault="00E90895" w:rsidP="00761F36">
            <w:pPr>
              <w:spacing w:before="0" w:after="0"/>
              <w:jc w:val="left"/>
              <w:rPr>
                <w:color w:val="000000"/>
                <w:sz w:val="22"/>
                <w:szCs w:val="22"/>
              </w:rPr>
            </w:pPr>
            <w:r>
              <w:rPr>
                <w:color w:val="000000"/>
                <w:sz w:val="22"/>
                <w:szCs w:val="22"/>
              </w:rPr>
              <w:t> </w:t>
            </w:r>
          </w:p>
        </w:tc>
        <w:tc>
          <w:tcPr>
            <w:tcW w:w="833" w:type="dxa"/>
            <w:tcBorders>
              <w:top w:val="nil"/>
              <w:left w:val="nil"/>
              <w:bottom w:val="nil"/>
              <w:right w:val="single" w:sz="4" w:space="0" w:color="000000"/>
            </w:tcBorders>
            <w:shd w:val="clear" w:color="auto" w:fill="auto"/>
            <w:vAlign w:val="bottom"/>
          </w:tcPr>
          <w:p w14:paraId="3695025D" w14:textId="77777777" w:rsidR="00E90895" w:rsidRDefault="00E90895" w:rsidP="00761F36">
            <w:pPr>
              <w:spacing w:before="0" w:after="0"/>
              <w:jc w:val="left"/>
              <w:rPr>
                <w:color w:val="000000"/>
                <w:sz w:val="22"/>
                <w:szCs w:val="22"/>
              </w:rPr>
            </w:pPr>
            <w:r>
              <w:rPr>
                <w:color w:val="000000"/>
                <w:sz w:val="22"/>
                <w:szCs w:val="22"/>
              </w:rPr>
              <w:t> </w:t>
            </w:r>
          </w:p>
        </w:tc>
      </w:tr>
      <w:tr w:rsidR="00E90895" w14:paraId="357A289C" w14:textId="77777777" w:rsidTr="0029453B">
        <w:trPr>
          <w:trHeight w:val="241"/>
        </w:trPr>
        <w:tc>
          <w:tcPr>
            <w:tcW w:w="1188" w:type="dxa"/>
            <w:tcBorders>
              <w:top w:val="nil"/>
              <w:left w:val="nil"/>
              <w:bottom w:val="nil"/>
              <w:right w:val="nil"/>
            </w:tcBorders>
            <w:shd w:val="clear" w:color="auto" w:fill="auto"/>
            <w:vAlign w:val="bottom"/>
          </w:tcPr>
          <w:p w14:paraId="4A425662" w14:textId="77777777" w:rsidR="00E90895" w:rsidRDefault="00E90895" w:rsidP="00761F36">
            <w:pPr>
              <w:spacing w:before="0" w:after="0"/>
              <w:jc w:val="left"/>
              <w:rPr>
                <w:color w:val="000000"/>
                <w:sz w:val="22"/>
                <w:szCs w:val="22"/>
              </w:rPr>
            </w:pPr>
          </w:p>
        </w:tc>
        <w:tc>
          <w:tcPr>
            <w:tcW w:w="833" w:type="dxa"/>
            <w:tcBorders>
              <w:top w:val="nil"/>
              <w:left w:val="nil"/>
              <w:bottom w:val="nil"/>
              <w:right w:val="nil"/>
            </w:tcBorders>
            <w:shd w:val="clear" w:color="auto" w:fill="auto"/>
            <w:vAlign w:val="bottom"/>
          </w:tcPr>
          <w:p w14:paraId="6DF8BB00" w14:textId="77777777" w:rsidR="00E90895" w:rsidRDefault="00E90895" w:rsidP="00761F36">
            <w:pPr>
              <w:spacing w:before="0" w:after="0"/>
              <w:jc w:val="left"/>
              <w:rPr>
                <w:szCs w:val="20"/>
              </w:rPr>
            </w:pPr>
          </w:p>
        </w:tc>
        <w:tc>
          <w:tcPr>
            <w:tcW w:w="987" w:type="dxa"/>
            <w:tcBorders>
              <w:top w:val="nil"/>
              <w:left w:val="nil"/>
              <w:bottom w:val="nil"/>
              <w:right w:val="nil"/>
            </w:tcBorders>
            <w:shd w:val="clear" w:color="auto" w:fill="auto"/>
            <w:vAlign w:val="bottom"/>
          </w:tcPr>
          <w:p w14:paraId="7A2AE130" w14:textId="77777777" w:rsidR="00E90895" w:rsidRDefault="00E90895" w:rsidP="00761F36">
            <w:pPr>
              <w:spacing w:before="0" w:after="0"/>
              <w:jc w:val="left"/>
              <w:rPr>
                <w:szCs w:val="20"/>
              </w:rPr>
            </w:pPr>
          </w:p>
        </w:tc>
        <w:tc>
          <w:tcPr>
            <w:tcW w:w="679" w:type="dxa"/>
            <w:tcBorders>
              <w:top w:val="nil"/>
              <w:left w:val="nil"/>
              <w:bottom w:val="nil"/>
              <w:right w:val="nil"/>
            </w:tcBorders>
            <w:shd w:val="clear" w:color="auto" w:fill="auto"/>
            <w:vAlign w:val="bottom"/>
          </w:tcPr>
          <w:p w14:paraId="5A0DE7BF" w14:textId="77777777" w:rsidR="00E90895" w:rsidRDefault="00E90895" w:rsidP="00761F36">
            <w:pPr>
              <w:spacing w:before="0" w:after="0"/>
              <w:jc w:val="left"/>
              <w:rPr>
                <w:szCs w:val="20"/>
              </w:rPr>
            </w:pPr>
          </w:p>
        </w:tc>
        <w:tc>
          <w:tcPr>
            <w:tcW w:w="1098" w:type="dxa"/>
            <w:tcBorders>
              <w:top w:val="nil"/>
              <w:left w:val="nil"/>
              <w:bottom w:val="nil"/>
              <w:right w:val="nil"/>
            </w:tcBorders>
            <w:shd w:val="clear" w:color="auto" w:fill="auto"/>
            <w:vAlign w:val="bottom"/>
          </w:tcPr>
          <w:p w14:paraId="62806739" w14:textId="77777777" w:rsidR="00E90895" w:rsidRDefault="00E90895" w:rsidP="00761F36">
            <w:pPr>
              <w:spacing w:before="0" w:after="0"/>
              <w:jc w:val="left"/>
              <w:rPr>
                <w:szCs w:val="20"/>
              </w:rPr>
            </w:pPr>
          </w:p>
        </w:tc>
        <w:tc>
          <w:tcPr>
            <w:tcW w:w="569" w:type="dxa"/>
            <w:tcBorders>
              <w:top w:val="nil"/>
              <w:left w:val="nil"/>
              <w:bottom w:val="nil"/>
              <w:right w:val="nil"/>
            </w:tcBorders>
            <w:shd w:val="clear" w:color="auto" w:fill="auto"/>
            <w:vAlign w:val="bottom"/>
          </w:tcPr>
          <w:p w14:paraId="7304D191"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1AE89C0B"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68B708EB"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50DDFEAE"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6F8034D8" w14:textId="77777777" w:rsidR="00E90895" w:rsidRDefault="00E90895" w:rsidP="00761F36">
            <w:pPr>
              <w:spacing w:before="0" w:after="0"/>
              <w:jc w:val="left"/>
              <w:rPr>
                <w:szCs w:val="20"/>
              </w:rPr>
            </w:pPr>
          </w:p>
        </w:tc>
        <w:tc>
          <w:tcPr>
            <w:tcW w:w="833" w:type="dxa"/>
            <w:tcBorders>
              <w:top w:val="nil"/>
              <w:left w:val="nil"/>
              <w:bottom w:val="nil"/>
              <w:right w:val="nil"/>
            </w:tcBorders>
            <w:shd w:val="clear" w:color="auto" w:fill="auto"/>
            <w:vAlign w:val="bottom"/>
          </w:tcPr>
          <w:p w14:paraId="2478484B" w14:textId="77777777" w:rsidR="00E90895" w:rsidRDefault="00E90895" w:rsidP="00761F36">
            <w:pPr>
              <w:spacing w:before="0" w:after="0"/>
              <w:jc w:val="left"/>
              <w:rPr>
                <w:szCs w:val="20"/>
              </w:rPr>
            </w:pPr>
          </w:p>
        </w:tc>
      </w:tr>
      <w:tr w:rsidR="00E90895" w14:paraId="40EFB5E9" w14:textId="77777777" w:rsidTr="0029453B">
        <w:trPr>
          <w:trHeight w:val="241"/>
        </w:trPr>
        <w:tc>
          <w:tcPr>
            <w:tcW w:w="1188" w:type="dxa"/>
            <w:tcBorders>
              <w:top w:val="nil"/>
              <w:left w:val="nil"/>
              <w:bottom w:val="nil"/>
              <w:right w:val="nil"/>
            </w:tcBorders>
            <w:shd w:val="clear" w:color="auto" w:fill="auto"/>
            <w:vAlign w:val="center"/>
          </w:tcPr>
          <w:p w14:paraId="2A74A777" w14:textId="17194872" w:rsidR="00E90895" w:rsidRDefault="00E90895" w:rsidP="00761F36">
            <w:pPr>
              <w:spacing w:before="0" w:after="0"/>
              <w:jc w:val="left"/>
              <w:rPr>
                <w:color w:val="000000"/>
                <w:sz w:val="22"/>
                <w:szCs w:val="22"/>
              </w:rPr>
            </w:pPr>
            <w:r>
              <w:rPr>
                <w:color w:val="000000"/>
                <w:sz w:val="22"/>
                <w:szCs w:val="22"/>
              </w:rPr>
              <w:t>Child</w:t>
            </w:r>
            <w:r w:rsidR="00140278">
              <w:rPr>
                <w:color w:val="000000"/>
                <w:sz w:val="22"/>
                <w:szCs w:val="22"/>
              </w:rPr>
              <w:t>’</w:t>
            </w:r>
            <w:r>
              <w:rPr>
                <w:color w:val="000000"/>
                <w:sz w:val="22"/>
                <w:szCs w:val="22"/>
              </w:rPr>
              <w:t>s age:</w:t>
            </w:r>
          </w:p>
        </w:tc>
        <w:tc>
          <w:tcPr>
            <w:tcW w:w="1820" w:type="dxa"/>
            <w:gridSpan w:val="2"/>
            <w:tcBorders>
              <w:top w:val="single" w:sz="8" w:space="0" w:color="000000"/>
              <w:left w:val="single" w:sz="8" w:space="0" w:color="000000"/>
              <w:bottom w:val="single" w:sz="8" w:space="0" w:color="000000"/>
              <w:right w:val="single" w:sz="8" w:space="0" w:color="000000"/>
            </w:tcBorders>
            <w:shd w:val="clear" w:color="auto" w:fill="E2EFDA"/>
            <w:vAlign w:val="center"/>
          </w:tcPr>
          <w:p w14:paraId="680E8729" w14:textId="77777777" w:rsidR="004146BA" w:rsidRDefault="00E90895" w:rsidP="00761F36">
            <w:pPr>
              <w:spacing w:before="0" w:after="0"/>
              <w:jc w:val="center"/>
              <w:rPr>
                <w:color w:val="000000"/>
                <w:sz w:val="22"/>
                <w:szCs w:val="22"/>
              </w:rPr>
            </w:pPr>
            <w:r>
              <w:rPr>
                <w:color w:val="000000"/>
                <w:sz w:val="22"/>
                <w:szCs w:val="22"/>
              </w:rPr>
              <w:t>Pregnancy</w:t>
            </w:r>
          </w:p>
          <w:p w14:paraId="58493BF2" w14:textId="0A0E7797" w:rsidR="00E90895" w:rsidRDefault="00E90895" w:rsidP="00761F36">
            <w:pPr>
              <w:spacing w:before="0" w:after="0"/>
              <w:jc w:val="center"/>
              <w:rPr>
                <w:color w:val="000000"/>
                <w:sz w:val="22"/>
                <w:szCs w:val="22"/>
              </w:rPr>
            </w:pPr>
            <w:r>
              <w:t>–</w:t>
            </w:r>
            <w:r>
              <w:rPr>
                <w:color w:val="000000"/>
                <w:sz w:val="22"/>
                <w:szCs w:val="22"/>
              </w:rPr>
              <w:t>9 mo</w:t>
            </w:r>
          </w:p>
        </w:tc>
        <w:tc>
          <w:tcPr>
            <w:tcW w:w="1778" w:type="dxa"/>
            <w:gridSpan w:val="2"/>
            <w:tcBorders>
              <w:top w:val="single" w:sz="8" w:space="0" w:color="000000"/>
              <w:left w:val="nil"/>
              <w:bottom w:val="single" w:sz="8" w:space="0" w:color="000000"/>
              <w:right w:val="single" w:sz="8" w:space="0" w:color="000000"/>
            </w:tcBorders>
            <w:shd w:val="clear" w:color="auto" w:fill="E2EFDA"/>
            <w:vAlign w:val="center"/>
          </w:tcPr>
          <w:p w14:paraId="0C8DAA34" w14:textId="77777777" w:rsidR="00E90895" w:rsidRDefault="00E90895" w:rsidP="00761F36">
            <w:pPr>
              <w:spacing w:before="0" w:after="0"/>
              <w:jc w:val="center"/>
              <w:rPr>
                <w:color w:val="000000"/>
                <w:sz w:val="22"/>
                <w:szCs w:val="22"/>
              </w:rPr>
            </w:pPr>
            <w:r>
              <w:rPr>
                <w:color w:val="000000"/>
                <w:sz w:val="22"/>
                <w:szCs w:val="22"/>
              </w:rPr>
              <w:t>6</w:t>
            </w:r>
            <w:r>
              <w:t>–</w:t>
            </w:r>
            <w:r>
              <w:rPr>
                <w:color w:val="000000"/>
                <w:sz w:val="22"/>
                <w:szCs w:val="22"/>
              </w:rPr>
              <w:t>23 mo</w:t>
            </w:r>
          </w:p>
        </w:tc>
        <w:tc>
          <w:tcPr>
            <w:tcW w:w="569" w:type="dxa"/>
            <w:tcBorders>
              <w:top w:val="nil"/>
              <w:left w:val="nil"/>
              <w:bottom w:val="nil"/>
              <w:right w:val="nil"/>
            </w:tcBorders>
            <w:shd w:val="clear" w:color="auto" w:fill="auto"/>
            <w:vAlign w:val="bottom"/>
          </w:tcPr>
          <w:p w14:paraId="31C746F6" w14:textId="77777777" w:rsidR="00E90895" w:rsidRDefault="00E90895" w:rsidP="00761F36">
            <w:pPr>
              <w:spacing w:before="0" w:after="0"/>
              <w:jc w:val="center"/>
              <w:rPr>
                <w:color w:val="000000"/>
                <w:sz w:val="22"/>
                <w:szCs w:val="22"/>
              </w:rPr>
            </w:pPr>
          </w:p>
        </w:tc>
        <w:tc>
          <w:tcPr>
            <w:tcW w:w="833" w:type="dxa"/>
            <w:tcBorders>
              <w:top w:val="nil"/>
              <w:left w:val="nil"/>
              <w:bottom w:val="nil"/>
              <w:right w:val="nil"/>
            </w:tcBorders>
            <w:shd w:val="clear" w:color="auto" w:fill="auto"/>
            <w:vAlign w:val="bottom"/>
          </w:tcPr>
          <w:p w14:paraId="44FA1C71" w14:textId="77777777" w:rsidR="00E90895" w:rsidRDefault="00E90895" w:rsidP="00761F36">
            <w:pPr>
              <w:spacing w:before="0" w:after="0"/>
              <w:jc w:val="center"/>
              <w:rPr>
                <w:szCs w:val="20"/>
              </w:rPr>
            </w:pPr>
          </w:p>
        </w:tc>
        <w:tc>
          <w:tcPr>
            <w:tcW w:w="1666" w:type="dxa"/>
            <w:gridSpan w:val="2"/>
            <w:tcBorders>
              <w:top w:val="nil"/>
              <w:left w:val="nil"/>
              <w:bottom w:val="nil"/>
              <w:right w:val="nil"/>
            </w:tcBorders>
            <w:shd w:val="clear" w:color="auto" w:fill="auto"/>
            <w:vAlign w:val="bottom"/>
          </w:tcPr>
          <w:p w14:paraId="4A21E30E" w14:textId="77777777" w:rsidR="00E90895" w:rsidRDefault="00E90895" w:rsidP="00761F36">
            <w:pPr>
              <w:spacing w:before="0" w:after="0"/>
              <w:jc w:val="center"/>
              <w:rPr>
                <w:szCs w:val="20"/>
              </w:rPr>
            </w:pPr>
          </w:p>
        </w:tc>
        <w:tc>
          <w:tcPr>
            <w:tcW w:w="1666" w:type="dxa"/>
            <w:gridSpan w:val="2"/>
            <w:tcBorders>
              <w:top w:val="single" w:sz="8" w:space="0" w:color="000000"/>
              <w:left w:val="single" w:sz="8" w:space="0" w:color="000000"/>
              <w:bottom w:val="single" w:sz="8" w:space="0" w:color="000000"/>
              <w:right w:val="single" w:sz="8" w:space="0" w:color="000000"/>
            </w:tcBorders>
            <w:shd w:val="clear" w:color="auto" w:fill="E2EFDA"/>
            <w:vAlign w:val="center"/>
          </w:tcPr>
          <w:p w14:paraId="11107F48" w14:textId="77777777" w:rsidR="00E90895" w:rsidRDefault="00E90895" w:rsidP="00761F36">
            <w:pPr>
              <w:spacing w:before="0" w:after="0"/>
              <w:jc w:val="center"/>
              <w:rPr>
                <w:color w:val="000000"/>
                <w:sz w:val="22"/>
                <w:szCs w:val="22"/>
              </w:rPr>
            </w:pPr>
            <w:r>
              <w:rPr>
                <w:color w:val="000000"/>
                <w:sz w:val="22"/>
                <w:szCs w:val="22"/>
              </w:rPr>
              <w:t>30</w:t>
            </w:r>
            <w:r>
              <w:t>–</w:t>
            </w:r>
            <w:r>
              <w:rPr>
                <w:color w:val="000000"/>
                <w:sz w:val="22"/>
                <w:szCs w:val="22"/>
              </w:rPr>
              <w:t>48 mo</w:t>
            </w:r>
          </w:p>
        </w:tc>
      </w:tr>
    </w:tbl>
    <w:p w14:paraId="7D468DBF" w14:textId="1AEDC348" w:rsidR="00E90895" w:rsidRDefault="007C77F0" w:rsidP="007C77F0">
      <w:pPr>
        <w:pStyle w:val="Heading2"/>
      </w:pPr>
      <w:bookmarkStart w:id="51" w:name="_Toc126582983"/>
      <w:r>
        <w:lastRenderedPageBreak/>
        <w:t xml:space="preserve">Baseline </w:t>
      </w:r>
      <w:r w:rsidR="00140278">
        <w:t xml:space="preserve">characteristics and </w:t>
      </w:r>
      <w:r>
        <w:t>balance</w:t>
      </w:r>
      <w:bookmarkEnd w:id="51"/>
    </w:p>
    <w:p w14:paraId="5F673D22" w14:textId="0D7A611C" w:rsidR="00140278" w:rsidRPr="00972FCF" w:rsidRDefault="00140278" w:rsidP="00140278">
      <w:r w:rsidRPr="00204D8F">
        <w:rPr>
          <w:rFonts w:cstheme="minorHAnsi"/>
        </w:rPr>
        <w:t xml:space="preserve">Table </w:t>
      </w:r>
      <w:r w:rsidR="00C41225" w:rsidRPr="00204D8F">
        <w:rPr>
          <w:rFonts w:cstheme="minorHAnsi"/>
        </w:rPr>
        <w:t>A2 in</w:t>
      </w:r>
      <w:r w:rsidR="00C41225">
        <w:rPr>
          <w:rFonts w:cstheme="minorHAnsi"/>
        </w:rPr>
        <w:t xml:space="preserve"> the appendix </w:t>
      </w:r>
      <w:r w:rsidRPr="00972FCF">
        <w:rPr>
          <w:rFonts w:cstheme="minorHAnsi"/>
        </w:rPr>
        <w:t>reports basic demographic characteristics of the sample households</w:t>
      </w:r>
      <w:r>
        <w:rPr>
          <w:rFonts w:cstheme="minorHAnsi"/>
        </w:rPr>
        <w:t xml:space="preserve"> </w:t>
      </w:r>
      <w:r w:rsidR="00711707">
        <w:rPr>
          <w:rFonts w:cstheme="minorHAnsi"/>
        </w:rPr>
        <w:t>included in our baseline survey</w:t>
      </w:r>
      <w:r w:rsidRPr="00972FCF">
        <w:rPr>
          <w:rFonts w:cstheme="minorHAnsi"/>
        </w:rPr>
        <w:t>. The average household size is five, and 89 percent of households report that the head of the household is male, characterized by</w:t>
      </w:r>
      <w:r w:rsidRPr="00972FCF">
        <w:t xml:space="preserve"> an average age of 35. </w:t>
      </w:r>
      <w:r w:rsidR="00F60179">
        <w:t>More than half</w:t>
      </w:r>
      <w:r w:rsidRPr="00972FCF">
        <w:t xml:space="preserve"> of </w:t>
      </w:r>
      <w:r w:rsidR="00F60179">
        <w:t xml:space="preserve">the </w:t>
      </w:r>
      <w:r w:rsidRPr="00972FCF">
        <w:t>household heads report some formal education, and 87 percent report that their primary economic activity is crop production.  93 percent of household heads are married.</w:t>
      </w:r>
    </w:p>
    <w:p w14:paraId="16A1277B" w14:textId="44A15812" w:rsidR="00140278" w:rsidRDefault="00140278" w:rsidP="00140278">
      <w:r w:rsidRPr="00F53E2B">
        <w:t xml:space="preserve">The primary female in the sample households </w:t>
      </w:r>
      <w:r w:rsidR="00711707">
        <w:t xml:space="preserve">(defined as the pregnant or lactating mother) </w:t>
      </w:r>
      <w:r w:rsidRPr="00F53E2B">
        <w:t xml:space="preserve">is on average 29 years of age, and </w:t>
      </w:r>
      <w:r>
        <w:t xml:space="preserve">93 percent are married. Only 43 percent of primary females report any formal education, and on average the level of education is low: only 26 percent report three to seven years of education, and only seven percent report more than eight years of education.  </w:t>
      </w:r>
    </w:p>
    <w:p w14:paraId="727FBDDE" w14:textId="2AEC286B" w:rsidR="00140278" w:rsidRDefault="00140278" w:rsidP="00A83407">
      <w:r>
        <w:t>While all households are PSNP beneficiaries in 2022 given the sample criteria, 12 percent report that they are receiving temporary direct support for some part of the year</w:t>
      </w:r>
      <w:r w:rsidR="002A1C5A">
        <w:t xml:space="preserve"> (i.e., receiving transfers without a labor requirement)</w:t>
      </w:r>
      <w:r>
        <w:t>; 96 percent report that they are public works beneficiaries</w:t>
      </w:r>
      <w:r w:rsidR="002A1C5A">
        <w:t xml:space="preserve"> (subject to a labor requirement)</w:t>
      </w:r>
      <w:r>
        <w:t>.</w:t>
      </w:r>
      <w:r w:rsidR="002A1C5A">
        <w:rPr>
          <w:rStyle w:val="FootnoteReference"/>
        </w:rPr>
        <w:footnoteReference w:id="21"/>
      </w:r>
      <w:r>
        <w:t xml:space="preserve">  It is important to note that due to the substantial retargeting process observed at the initiation of the PSNP5 period, the majority of these households are new to the PSNP and did not previously receive any benefits; only 33 percent report previously receiving PNSP benefits in 2021, the final year </w:t>
      </w:r>
      <w:r w:rsidR="002A1C5A">
        <w:t>prior to the recent retargeting</w:t>
      </w:r>
      <w:r>
        <w:t>.</w:t>
      </w:r>
      <w:r w:rsidR="005F78E4" w:rsidRPr="005F78E4">
        <w:t xml:space="preserve"> </w:t>
      </w:r>
      <w:r w:rsidR="005F78E4">
        <w:t>The estimated prevalence of extreme poverty (consumption under $1.90 a day) is 71</w:t>
      </w:r>
      <w:r w:rsidR="00466065">
        <w:t xml:space="preserve"> percent</w:t>
      </w:r>
      <w:r w:rsidR="005F78E4">
        <w:t>.</w:t>
      </w:r>
    </w:p>
    <w:p w14:paraId="1454455A" w14:textId="3B62206F" w:rsidR="00C31BA9" w:rsidRDefault="00A83407" w:rsidP="00A83407">
      <w:r>
        <w:t xml:space="preserve">Table </w:t>
      </w:r>
      <w:r w:rsidR="00831C3D">
        <w:t xml:space="preserve">6 </w:t>
      </w:r>
      <w:r>
        <w:t xml:space="preserve">reports the </w:t>
      </w:r>
      <w:r w:rsidR="00F92161">
        <w:t xml:space="preserve">baseline </w:t>
      </w:r>
      <w:r>
        <w:t xml:space="preserve">balance of </w:t>
      </w:r>
      <w:r w:rsidR="005F78E4">
        <w:t xml:space="preserve">key household </w:t>
      </w:r>
      <w:r>
        <w:t>characteristics across treatment arms</w:t>
      </w:r>
      <w:r w:rsidR="005F78E4">
        <w:t>.</w:t>
      </w:r>
      <w:r>
        <w:t xml:space="preserve"> </w:t>
      </w:r>
      <w:r w:rsidR="00223948">
        <w:t>Out of the 36 t-tests comparing differences across treatment arms</w:t>
      </w:r>
      <w:r w:rsidR="00306D29">
        <w:t>,</w:t>
      </w:r>
      <w:r w:rsidR="00711707">
        <w:t xml:space="preserve"> </w:t>
      </w:r>
      <w:r w:rsidR="00496858">
        <w:t xml:space="preserve">only one is </w:t>
      </w:r>
      <w:r>
        <w:t xml:space="preserve">statistically significant at </w:t>
      </w:r>
      <w:r w:rsidR="00711707">
        <w:t>the</w:t>
      </w:r>
      <w:r w:rsidR="00466065">
        <w:t xml:space="preserve"> five percent</w:t>
      </w:r>
      <w:r w:rsidR="00711707">
        <w:t xml:space="preserve"> </w:t>
      </w:r>
      <w:r>
        <w:t>level.</w:t>
      </w:r>
      <w:r w:rsidR="00223948" w:rsidRPr="00223948">
        <w:t xml:space="preserve"> </w:t>
      </w:r>
      <w:r w:rsidR="005F78E4">
        <w:t>We conducted a joint test across all these outcomes to test the hypothesis that the observable characteristics are generally balanced across experimental arms T1, T2, and T3 across all characteristics reported. The p-values for these joint tests are between 0.66</w:t>
      </w:r>
      <w:r w:rsidR="00223948">
        <w:t>5</w:t>
      </w:r>
      <w:r w:rsidR="005F78E4">
        <w:t xml:space="preserve"> and 0.888, meaning that the hypothesis that the characteristics are </w:t>
      </w:r>
      <w:r w:rsidR="00223948">
        <w:t xml:space="preserve">jointly </w:t>
      </w:r>
      <w:r w:rsidR="005F78E4">
        <w:t>balanced cannot be rejected</w:t>
      </w:r>
      <w:r w:rsidR="00466065">
        <w:t xml:space="preserve">. </w:t>
      </w:r>
      <w:r w:rsidR="005F78E4">
        <w:t xml:space="preserve">We therefore conclude that </w:t>
      </w:r>
      <w:r w:rsidR="00223948">
        <w:t xml:space="preserve">the </w:t>
      </w:r>
      <w:r w:rsidR="00223948" w:rsidRPr="00223948">
        <w:t xml:space="preserve">randomization </w:t>
      </w:r>
      <w:r w:rsidR="00223948">
        <w:t xml:space="preserve">was successful </w:t>
      </w:r>
      <w:r w:rsidR="00223948" w:rsidRPr="00223948">
        <w:t>in generating balance</w:t>
      </w:r>
      <w:r w:rsidR="00223948">
        <w:t xml:space="preserve"> across key household characteristics</w:t>
      </w:r>
      <w:r w:rsidR="005F78E4">
        <w:t>.</w:t>
      </w:r>
    </w:p>
    <w:p w14:paraId="7FF53EB2" w14:textId="77777777" w:rsidR="00C31BA9" w:rsidRDefault="00C31BA9" w:rsidP="00C31BA9">
      <w:pPr>
        <w:pStyle w:val="Heading2"/>
      </w:pPr>
      <w:r>
        <w:t>Data management plan</w:t>
      </w:r>
    </w:p>
    <w:p w14:paraId="43635F4C" w14:textId="1D5B2B05" w:rsidR="00C31BA9" w:rsidRDefault="00C31BA9" w:rsidP="00C31BA9">
      <w:pPr>
        <w:sectPr w:rsidR="00C31BA9" w:rsidSect="00A11C14">
          <w:pgSz w:w="12240" w:h="15840"/>
          <w:pgMar w:top="1440" w:right="1440" w:bottom="1440" w:left="1440" w:header="720" w:footer="720" w:gutter="0"/>
          <w:cols w:space="720"/>
          <w:docGrid w:linePitch="360"/>
        </w:sectPr>
      </w:pPr>
      <w:r w:rsidRPr="00D920D3">
        <w:t xml:space="preserve">Confidentiality of the data is protected by recording survey interview responses using CAPI, </w:t>
      </w:r>
      <w:r>
        <w:t>and thus</w:t>
      </w:r>
      <w:r w:rsidRPr="00D920D3">
        <w:t xml:space="preserve"> no hard copy versions of survey questionnaires will be available. All files containing raw and analyzed data are securely stored in password-protected and encrypted databases. Access to the complete data </w:t>
      </w:r>
      <w:r>
        <w:t>will</w:t>
      </w:r>
      <w:r w:rsidRPr="00D920D3">
        <w:t xml:space="preserve"> </w:t>
      </w:r>
      <w:r w:rsidR="00C34462" w:rsidRPr="00D920D3">
        <w:t>be restricted</w:t>
      </w:r>
      <w:r w:rsidRPr="00D920D3">
        <w:t xml:space="preserve"> to the </w:t>
      </w:r>
      <w:r>
        <w:t>research</w:t>
      </w:r>
      <w:r w:rsidRPr="00D920D3">
        <w:t xml:space="preserve"> team. A unique household ID is assigned to each household. The name, contact information, and geographic location of the respondent will be kept in a separate data file to which only the key members of </w:t>
      </w:r>
      <w:proofErr w:type="gramStart"/>
      <w:r w:rsidRPr="00D920D3">
        <w:t>research</w:t>
      </w:r>
      <w:proofErr w:type="gramEnd"/>
      <w:r w:rsidRPr="00D920D3">
        <w:t xml:space="preserve"> team will have access (the Research Analyst, and Principal Investigator</w:t>
      </w:r>
      <w:r>
        <w:t>s</w:t>
      </w:r>
      <w:r w:rsidRPr="00D920D3">
        <w:t>). Anonymized versions of the data sets that exclude these personal identifiers will be used for analysis and made available for public access after the evaluation has ended. PII will be deleted one year following the closure of the evaluation and all related grant activities</w:t>
      </w:r>
      <w:r>
        <w:t>, scheduled to conclude in 2026.  No stopping rule is specified for this trial.</w:t>
      </w:r>
    </w:p>
    <w:p w14:paraId="16210475" w14:textId="35ED153F" w:rsidR="00140278" w:rsidRDefault="00140278" w:rsidP="00A83407"/>
    <w:p w14:paraId="20322EBD" w14:textId="3E831F16" w:rsidR="00A83407" w:rsidRDefault="00A83407" w:rsidP="00A83407">
      <w:pPr>
        <w:pStyle w:val="Caption"/>
      </w:pPr>
      <w:bookmarkStart w:id="52" w:name="_Ref121482298"/>
      <w:bookmarkStart w:id="53" w:name="_Ref121393163"/>
      <w:bookmarkStart w:id="54" w:name="_Toc121482731"/>
      <w:bookmarkStart w:id="55" w:name="_Hlk126268129"/>
      <w:bookmarkStart w:id="56" w:name="_Hlk126228561"/>
      <w:r>
        <w:t xml:space="preserve">Table </w:t>
      </w:r>
      <w:bookmarkEnd w:id="52"/>
      <w:r w:rsidR="00831C3D">
        <w:t>6</w:t>
      </w:r>
      <w:r>
        <w:t xml:space="preserve">. Balance of </w:t>
      </w:r>
      <w:r w:rsidR="000B69E2">
        <w:t xml:space="preserve">household </w:t>
      </w:r>
      <w:r>
        <w:t>characteristics across treatment arms</w:t>
      </w:r>
      <w:bookmarkEnd w:id="53"/>
      <w:bookmarkEnd w:id="54"/>
    </w:p>
    <w:tbl>
      <w:tblPr>
        <w:tblW w:w="13418" w:type="dxa"/>
        <w:tblLook w:val="04A0" w:firstRow="1" w:lastRow="0" w:firstColumn="1" w:lastColumn="0" w:noHBand="0" w:noVBand="1"/>
      </w:tblPr>
      <w:tblGrid>
        <w:gridCol w:w="5424"/>
        <w:gridCol w:w="1390"/>
        <w:gridCol w:w="1390"/>
        <w:gridCol w:w="1390"/>
        <w:gridCol w:w="1476"/>
        <w:gridCol w:w="1174"/>
        <w:gridCol w:w="1174"/>
      </w:tblGrid>
      <w:tr w:rsidR="001C791B" w:rsidRPr="001C791B" w14:paraId="59FC1048" w14:textId="77777777" w:rsidTr="001C791B">
        <w:trPr>
          <w:trHeight w:val="251"/>
        </w:trPr>
        <w:tc>
          <w:tcPr>
            <w:tcW w:w="5424" w:type="dxa"/>
            <w:tcBorders>
              <w:top w:val="single" w:sz="12" w:space="0" w:color="auto"/>
              <w:left w:val="nil"/>
              <w:bottom w:val="nil"/>
              <w:right w:val="nil"/>
            </w:tcBorders>
            <w:shd w:val="clear" w:color="auto" w:fill="auto"/>
            <w:noWrap/>
            <w:vAlign w:val="center"/>
            <w:hideMark/>
          </w:tcPr>
          <w:p w14:paraId="55F797A1" w14:textId="77777777" w:rsidR="00227E07" w:rsidRPr="0058106B" w:rsidRDefault="00227E07" w:rsidP="001C791B">
            <w:pPr>
              <w:spacing w:before="0" w:after="0" w:line="240" w:lineRule="auto"/>
              <w:jc w:val="left"/>
              <w:rPr>
                <w:rFonts w:eastAsia="Times New Roman" w:cs="Arial"/>
                <w:b/>
                <w:bCs/>
                <w:sz w:val="18"/>
                <w:szCs w:val="18"/>
              </w:rPr>
            </w:pPr>
            <w:bookmarkStart w:id="57" w:name="_Hlk143780966"/>
          </w:p>
        </w:tc>
        <w:tc>
          <w:tcPr>
            <w:tcW w:w="1390" w:type="dxa"/>
            <w:tcBorders>
              <w:top w:val="single" w:sz="12" w:space="0" w:color="auto"/>
              <w:left w:val="nil"/>
              <w:bottom w:val="nil"/>
              <w:right w:val="nil"/>
            </w:tcBorders>
            <w:shd w:val="clear" w:color="auto" w:fill="auto"/>
            <w:noWrap/>
            <w:vAlign w:val="center"/>
            <w:hideMark/>
          </w:tcPr>
          <w:p w14:paraId="1680F147"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(1)</w:t>
            </w:r>
          </w:p>
        </w:tc>
        <w:tc>
          <w:tcPr>
            <w:tcW w:w="1390" w:type="dxa"/>
            <w:tcBorders>
              <w:top w:val="single" w:sz="12" w:space="0" w:color="auto"/>
              <w:left w:val="nil"/>
              <w:bottom w:val="nil"/>
              <w:right w:val="nil"/>
            </w:tcBorders>
            <w:shd w:val="clear" w:color="auto" w:fill="auto"/>
            <w:noWrap/>
            <w:vAlign w:val="center"/>
            <w:hideMark/>
          </w:tcPr>
          <w:p w14:paraId="6BB4F8F2"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(2)</w:t>
            </w:r>
          </w:p>
        </w:tc>
        <w:tc>
          <w:tcPr>
            <w:tcW w:w="1390" w:type="dxa"/>
            <w:tcBorders>
              <w:top w:val="single" w:sz="12" w:space="0" w:color="auto"/>
              <w:left w:val="nil"/>
              <w:bottom w:val="nil"/>
              <w:right w:val="nil"/>
            </w:tcBorders>
            <w:shd w:val="clear" w:color="auto" w:fill="auto"/>
            <w:noWrap/>
            <w:vAlign w:val="center"/>
            <w:hideMark/>
          </w:tcPr>
          <w:p w14:paraId="18BF590C"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(3)</w:t>
            </w:r>
          </w:p>
        </w:tc>
        <w:tc>
          <w:tcPr>
            <w:tcW w:w="1476" w:type="dxa"/>
            <w:tcBorders>
              <w:top w:val="single" w:sz="12" w:space="0" w:color="auto"/>
              <w:left w:val="nil"/>
              <w:bottom w:val="nil"/>
              <w:right w:val="nil"/>
            </w:tcBorders>
            <w:shd w:val="clear" w:color="auto" w:fill="auto"/>
            <w:noWrap/>
            <w:vAlign w:val="center"/>
            <w:hideMark/>
          </w:tcPr>
          <w:p w14:paraId="7FC7E205"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t-test</w:t>
            </w:r>
          </w:p>
        </w:tc>
        <w:tc>
          <w:tcPr>
            <w:tcW w:w="1174" w:type="dxa"/>
            <w:tcBorders>
              <w:top w:val="single" w:sz="12" w:space="0" w:color="auto"/>
              <w:left w:val="nil"/>
              <w:bottom w:val="nil"/>
              <w:right w:val="nil"/>
            </w:tcBorders>
            <w:shd w:val="clear" w:color="auto" w:fill="auto"/>
            <w:noWrap/>
            <w:vAlign w:val="center"/>
            <w:hideMark/>
          </w:tcPr>
          <w:p w14:paraId="3236D0A7"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t-test</w:t>
            </w:r>
          </w:p>
        </w:tc>
        <w:tc>
          <w:tcPr>
            <w:tcW w:w="1174" w:type="dxa"/>
            <w:tcBorders>
              <w:top w:val="single" w:sz="12" w:space="0" w:color="auto"/>
              <w:left w:val="nil"/>
              <w:bottom w:val="nil"/>
              <w:right w:val="nil"/>
            </w:tcBorders>
            <w:shd w:val="clear" w:color="auto" w:fill="auto"/>
            <w:noWrap/>
            <w:vAlign w:val="center"/>
            <w:hideMark/>
          </w:tcPr>
          <w:p w14:paraId="7BEF73CD"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t-test</w:t>
            </w:r>
          </w:p>
        </w:tc>
      </w:tr>
      <w:tr w:rsidR="001C791B" w:rsidRPr="001C791B" w14:paraId="69DE98F0" w14:textId="77777777" w:rsidTr="001C791B">
        <w:trPr>
          <w:trHeight w:val="251"/>
        </w:trPr>
        <w:tc>
          <w:tcPr>
            <w:tcW w:w="5424" w:type="dxa"/>
            <w:tcBorders>
              <w:top w:val="nil"/>
              <w:left w:val="nil"/>
              <w:bottom w:val="nil"/>
              <w:right w:val="nil"/>
            </w:tcBorders>
            <w:shd w:val="clear" w:color="auto" w:fill="auto"/>
            <w:noWrap/>
            <w:vAlign w:val="center"/>
            <w:hideMark/>
          </w:tcPr>
          <w:p w14:paraId="360986CE" w14:textId="77777777" w:rsidR="00227E07" w:rsidRPr="0058106B" w:rsidRDefault="00227E07" w:rsidP="001C791B">
            <w:pPr>
              <w:spacing w:before="0" w:after="0" w:line="240" w:lineRule="auto"/>
              <w:jc w:val="left"/>
              <w:rPr>
                <w:rFonts w:eastAsia="Times New Roman" w:cs="Arial"/>
                <w:b/>
                <w:bCs/>
                <w:sz w:val="18"/>
                <w:szCs w:val="18"/>
              </w:rPr>
            </w:pPr>
          </w:p>
        </w:tc>
        <w:tc>
          <w:tcPr>
            <w:tcW w:w="1390" w:type="dxa"/>
            <w:tcBorders>
              <w:top w:val="nil"/>
              <w:left w:val="nil"/>
              <w:bottom w:val="nil"/>
              <w:right w:val="nil"/>
            </w:tcBorders>
            <w:shd w:val="clear" w:color="auto" w:fill="auto"/>
            <w:noWrap/>
            <w:vAlign w:val="center"/>
            <w:hideMark/>
          </w:tcPr>
          <w:p w14:paraId="26854EDA"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T1</w:t>
            </w:r>
          </w:p>
        </w:tc>
        <w:tc>
          <w:tcPr>
            <w:tcW w:w="1390" w:type="dxa"/>
            <w:tcBorders>
              <w:top w:val="nil"/>
              <w:left w:val="nil"/>
              <w:bottom w:val="nil"/>
              <w:right w:val="nil"/>
            </w:tcBorders>
            <w:shd w:val="clear" w:color="auto" w:fill="auto"/>
            <w:noWrap/>
            <w:vAlign w:val="center"/>
            <w:hideMark/>
          </w:tcPr>
          <w:p w14:paraId="632EB5A5"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T2</w:t>
            </w:r>
          </w:p>
        </w:tc>
        <w:tc>
          <w:tcPr>
            <w:tcW w:w="1390" w:type="dxa"/>
            <w:tcBorders>
              <w:top w:val="nil"/>
              <w:left w:val="nil"/>
              <w:bottom w:val="nil"/>
              <w:right w:val="nil"/>
            </w:tcBorders>
            <w:shd w:val="clear" w:color="auto" w:fill="auto"/>
            <w:noWrap/>
            <w:vAlign w:val="center"/>
            <w:hideMark/>
          </w:tcPr>
          <w:p w14:paraId="11FB5A7A"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T3</w:t>
            </w:r>
          </w:p>
        </w:tc>
        <w:tc>
          <w:tcPr>
            <w:tcW w:w="1476" w:type="dxa"/>
            <w:tcBorders>
              <w:top w:val="nil"/>
              <w:left w:val="nil"/>
              <w:bottom w:val="nil"/>
              <w:right w:val="nil"/>
            </w:tcBorders>
            <w:shd w:val="clear" w:color="auto" w:fill="auto"/>
            <w:noWrap/>
            <w:vAlign w:val="center"/>
            <w:hideMark/>
          </w:tcPr>
          <w:p w14:paraId="72CAC47F"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p-value</w:t>
            </w:r>
          </w:p>
        </w:tc>
        <w:tc>
          <w:tcPr>
            <w:tcW w:w="1174" w:type="dxa"/>
            <w:tcBorders>
              <w:top w:val="nil"/>
              <w:left w:val="nil"/>
              <w:bottom w:val="nil"/>
              <w:right w:val="nil"/>
            </w:tcBorders>
            <w:shd w:val="clear" w:color="auto" w:fill="auto"/>
            <w:noWrap/>
            <w:vAlign w:val="center"/>
            <w:hideMark/>
          </w:tcPr>
          <w:p w14:paraId="67E13598"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p-value</w:t>
            </w:r>
          </w:p>
        </w:tc>
        <w:tc>
          <w:tcPr>
            <w:tcW w:w="1174" w:type="dxa"/>
            <w:tcBorders>
              <w:top w:val="nil"/>
              <w:left w:val="nil"/>
              <w:bottom w:val="nil"/>
              <w:right w:val="nil"/>
            </w:tcBorders>
            <w:shd w:val="clear" w:color="auto" w:fill="auto"/>
            <w:noWrap/>
            <w:vAlign w:val="center"/>
            <w:hideMark/>
          </w:tcPr>
          <w:p w14:paraId="45D1F2FE"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p-value</w:t>
            </w:r>
          </w:p>
        </w:tc>
      </w:tr>
      <w:tr w:rsidR="001C791B" w:rsidRPr="001C791B" w14:paraId="25032479" w14:textId="77777777" w:rsidTr="001C791B">
        <w:trPr>
          <w:trHeight w:val="251"/>
        </w:trPr>
        <w:tc>
          <w:tcPr>
            <w:tcW w:w="5424" w:type="dxa"/>
            <w:tcBorders>
              <w:top w:val="nil"/>
              <w:left w:val="nil"/>
              <w:bottom w:val="single" w:sz="4" w:space="0" w:color="auto"/>
              <w:right w:val="nil"/>
            </w:tcBorders>
            <w:shd w:val="clear" w:color="auto" w:fill="auto"/>
            <w:noWrap/>
            <w:vAlign w:val="center"/>
            <w:hideMark/>
          </w:tcPr>
          <w:p w14:paraId="1B9E2BB9" w14:textId="77777777" w:rsidR="00227E07" w:rsidRPr="0058106B" w:rsidRDefault="00227E07" w:rsidP="001C791B">
            <w:pPr>
              <w:spacing w:before="0" w:after="0" w:line="240" w:lineRule="auto"/>
              <w:jc w:val="left"/>
              <w:rPr>
                <w:rFonts w:eastAsia="Times New Roman" w:cs="Arial"/>
                <w:b/>
                <w:bCs/>
                <w:sz w:val="18"/>
                <w:szCs w:val="18"/>
              </w:rPr>
            </w:pPr>
            <w:r w:rsidRPr="0058106B">
              <w:rPr>
                <w:rFonts w:eastAsia="Times New Roman" w:cs="Arial"/>
                <w:b/>
                <w:bCs/>
                <w:sz w:val="18"/>
                <w:szCs w:val="18"/>
              </w:rPr>
              <w:t>Variable</w:t>
            </w:r>
          </w:p>
        </w:tc>
        <w:tc>
          <w:tcPr>
            <w:tcW w:w="1390" w:type="dxa"/>
            <w:tcBorders>
              <w:top w:val="nil"/>
              <w:left w:val="nil"/>
              <w:bottom w:val="single" w:sz="4" w:space="0" w:color="auto"/>
              <w:right w:val="nil"/>
            </w:tcBorders>
            <w:shd w:val="clear" w:color="auto" w:fill="auto"/>
            <w:noWrap/>
            <w:vAlign w:val="center"/>
            <w:hideMark/>
          </w:tcPr>
          <w:p w14:paraId="1E000757" w14:textId="3656FE39"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Mean/</w:t>
            </w:r>
            <w:r w:rsidR="001C791B">
              <w:rPr>
                <w:rFonts w:eastAsia="Times New Roman" w:cs="Arial"/>
                <w:b/>
                <w:bCs/>
                <w:sz w:val="18"/>
                <w:szCs w:val="18"/>
              </w:rPr>
              <w:t>[</w:t>
            </w:r>
            <w:r w:rsidRPr="0058106B">
              <w:rPr>
                <w:rFonts w:eastAsia="Times New Roman" w:cs="Arial"/>
                <w:b/>
                <w:bCs/>
                <w:sz w:val="18"/>
                <w:szCs w:val="18"/>
              </w:rPr>
              <w:t>SE</w:t>
            </w:r>
            <w:r w:rsidR="001C791B">
              <w:rPr>
                <w:rFonts w:eastAsia="Times New Roman" w:cs="Arial"/>
                <w:b/>
                <w:bCs/>
                <w:sz w:val="18"/>
                <w:szCs w:val="18"/>
              </w:rPr>
              <w:t>]</w:t>
            </w:r>
          </w:p>
        </w:tc>
        <w:tc>
          <w:tcPr>
            <w:tcW w:w="1390" w:type="dxa"/>
            <w:tcBorders>
              <w:top w:val="nil"/>
              <w:left w:val="nil"/>
              <w:bottom w:val="single" w:sz="4" w:space="0" w:color="auto"/>
              <w:right w:val="nil"/>
            </w:tcBorders>
            <w:shd w:val="clear" w:color="auto" w:fill="auto"/>
            <w:noWrap/>
            <w:vAlign w:val="center"/>
            <w:hideMark/>
          </w:tcPr>
          <w:p w14:paraId="022651C0" w14:textId="44DE4ED9"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Mean/</w:t>
            </w:r>
            <w:r w:rsidR="001C791B">
              <w:rPr>
                <w:rFonts w:eastAsia="Times New Roman" w:cs="Arial"/>
                <w:b/>
                <w:bCs/>
                <w:sz w:val="18"/>
                <w:szCs w:val="18"/>
              </w:rPr>
              <w:t>[</w:t>
            </w:r>
            <w:r w:rsidRPr="0058106B">
              <w:rPr>
                <w:rFonts w:eastAsia="Times New Roman" w:cs="Arial"/>
                <w:b/>
                <w:bCs/>
                <w:sz w:val="18"/>
                <w:szCs w:val="18"/>
              </w:rPr>
              <w:t>SE</w:t>
            </w:r>
            <w:r w:rsidR="001C791B">
              <w:rPr>
                <w:rFonts w:eastAsia="Times New Roman" w:cs="Arial"/>
                <w:b/>
                <w:bCs/>
                <w:sz w:val="18"/>
                <w:szCs w:val="18"/>
              </w:rPr>
              <w:t>]</w:t>
            </w:r>
          </w:p>
        </w:tc>
        <w:tc>
          <w:tcPr>
            <w:tcW w:w="1390" w:type="dxa"/>
            <w:tcBorders>
              <w:top w:val="nil"/>
              <w:left w:val="nil"/>
              <w:bottom w:val="single" w:sz="4" w:space="0" w:color="auto"/>
              <w:right w:val="nil"/>
            </w:tcBorders>
            <w:shd w:val="clear" w:color="auto" w:fill="auto"/>
            <w:noWrap/>
            <w:vAlign w:val="center"/>
            <w:hideMark/>
          </w:tcPr>
          <w:p w14:paraId="131AEE9F" w14:textId="6F95C63D"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Mean/</w:t>
            </w:r>
            <w:r w:rsidR="001C791B">
              <w:rPr>
                <w:rFonts w:eastAsia="Times New Roman" w:cs="Arial"/>
                <w:b/>
                <w:bCs/>
                <w:sz w:val="18"/>
                <w:szCs w:val="18"/>
              </w:rPr>
              <w:t>[</w:t>
            </w:r>
            <w:r w:rsidRPr="0058106B">
              <w:rPr>
                <w:rFonts w:eastAsia="Times New Roman" w:cs="Arial"/>
                <w:b/>
                <w:bCs/>
                <w:sz w:val="18"/>
                <w:szCs w:val="18"/>
              </w:rPr>
              <w:t>SE</w:t>
            </w:r>
            <w:r w:rsidR="001C791B">
              <w:rPr>
                <w:rFonts w:eastAsia="Times New Roman" w:cs="Arial"/>
                <w:b/>
                <w:bCs/>
                <w:sz w:val="18"/>
                <w:szCs w:val="18"/>
              </w:rPr>
              <w:t>]</w:t>
            </w:r>
          </w:p>
        </w:tc>
        <w:tc>
          <w:tcPr>
            <w:tcW w:w="1476" w:type="dxa"/>
            <w:tcBorders>
              <w:top w:val="nil"/>
              <w:left w:val="nil"/>
              <w:bottom w:val="single" w:sz="4" w:space="0" w:color="auto"/>
              <w:right w:val="nil"/>
            </w:tcBorders>
            <w:shd w:val="clear" w:color="auto" w:fill="auto"/>
            <w:noWrap/>
            <w:vAlign w:val="center"/>
            <w:hideMark/>
          </w:tcPr>
          <w:p w14:paraId="0B410243"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(1)-(2)</w:t>
            </w:r>
          </w:p>
        </w:tc>
        <w:tc>
          <w:tcPr>
            <w:tcW w:w="1174" w:type="dxa"/>
            <w:tcBorders>
              <w:top w:val="nil"/>
              <w:left w:val="nil"/>
              <w:bottom w:val="single" w:sz="4" w:space="0" w:color="auto"/>
              <w:right w:val="nil"/>
            </w:tcBorders>
            <w:shd w:val="clear" w:color="auto" w:fill="auto"/>
            <w:noWrap/>
            <w:vAlign w:val="center"/>
            <w:hideMark/>
          </w:tcPr>
          <w:p w14:paraId="58008D2B"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(1)-(3)</w:t>
            </w:r>
          </w:p>
        </w:tc>
        <w:tc>
          <w:tcPr>
            <w:tcW w:w="1174" w:type="dxa"/>
            <w:tcBorders>
              <w:top w:val="nil"/>
              <w:left w:val="nil"/>
              <w:bottom w:val="single" w:sz="4" w:space="0" w:color="auto"/>
              <w:right w:val="nil"/>
            </w:tcBorders>
            <w:shd w:val="clear" w:color="auto" w:fill="auto"/>
            <w:noWrap/>
            <w:vAlign w:val="center"/>
            <w:hideMark/>
          </w:tcPr>
          <w:p w14:paraId="283499BE" w14:textId="77777777" w:rsidR="00227E07" w:rsidRPr="0058106B" w:rsidRDefault="00227E07" w:rsidP="001C791B">
            <w:pPr>
              <w:spacing w:before="0" w:after="0" w:line="240" w:lineRule="auto"/>
              <w:jc w:val="center"/>
              <w:rPr>
                <w:rFonts w:eastAsia="Times New Roman" w:cs="Arial"/>
                <w:b/>
                <w:bCs/>
                <w:sz w:val="18"/>
                <w:szCs w:val="18"/>
              </w:rPr>
            </w:pPr>
            <w:r w:rsidRPr="0058106B">
              <w:rPr>
                <w:rFonts w:eastAsia="Times New Roman" w:cs="Arial"/>
                <w:b/>
                <w:bCs/>
                <w:sz w:val="18"/>
                <w:szCs w:val="18"/>
              </w:rPr>
              <w:t>(2)-(3)</w:t>
            </w:r>
          </w:p>
        </w:tc>
      </w:tr>
      <w:tr w:rsidR="001C791B" w:rsidRPr="001C791B" w14:paraId="2CBE00A1" w14:textId="77777777" w:rsidTr="001C791B">
        <w:trPr>
          <w:trHeight w:val="251"/>
        </w:trPr>
        <w:tc>
          <w:tcPr>
            <w:tcW w:w="5424" w:type="dxa"/>
            <w:tcBorders>
              <w:left w:val="nil"/>
              <w:right w:val="nil"/>
            </w:tcBorders>
            <w:shd w:val="clear" w:color="auto" w:fill="auto"/>
            <w:noWrap/>
            <w:vAlign w:val="center"/>
          </w:tcPr>
          <w:p w14:paraId="531EF025" w14:textId="480AD697" w:rsidR="00227E07" w:rsidRPr="0058106B" w:rsidRDefault="00227E07" w:rsidP="001C791B">
            <w:pPr>
              <w:spacing w:before="0" w:after="0" w:line="240" w:lineRule="auto"/>
              <w:jc w:val="left"/>
              <w:rPr>
                <w:rFonts w:eastAsia="Times New Roman" w:cs="Arial"/>
                <w:sz w:val="18"/>
                <w:szCs w:val="18"/>
              </w:rPr>
            </w:pPr>
            <w:r w:rsidRPr="0058106B">
              <w:rPr>
                <w:rFonts w:eastAsia="Times New Roman" w:cs="Arial"/>
                <w:sz w:val="18"/>
                <w:szCs w:val="18"/>
              </w:rPr>
              <w:t>Pregnancy / infant status:</w:t>
            </w:r>
          </w:p>
        </w:tc>
        <w:tc>
          <w:tcPr>
            <w:tcW w:w="1390" w:type="dxa"/>
            <w:tcBorders>
              <w:left w:val="nil"/>
              <w:right w:val="nil"/>
            </w:tcBorders>
            <w:shd w:val="clear" w:color="auto" w:fill="auto"/>
            <w:noWrap/>
            <w:vAlign w:val="center"/>
          </w:tcPr>
          <w:p w14:paraId="64EFA683" w14:textId="77777777" w:rsidR="00227E07" w:rsidRPr="0058106B" w:rsidRDefault="00227E07" w:rsidP="001C791B">
            <w:pPr>
              <w:spacing w:before="0" w:after="0" w:line="240" w:lineRule="auto"/>
              <w:jc w:val="center"/>
              <w:rPr>
                <w:rFonts w:eastAsia="Times New Roman" w:cs="Arial"/>
                <w:sz w:val="18"/>
                <w:szCs w:val="18"/>
              </w:rPr>
            </w:pPr>
          </w:p>
        </w:tc>
        <w:tc>
          <w:tcPr>
            <w:tcW w:w="1390" w:type="dxa"/>
            <w:tcBorders>
              <w:left w:val="nil"/>
              <w:right w:val="nil"/>
            </w:tcBorders>
            <w:shd w:val="clear" w:color="auto" w:fill="auto"/>
            <w:noWrap/>
            <w:vAlign w:val="center"/>
          </w:tcPr>
          <w:p w14:paraId="58D3DF15" w14:textId="77777777" w:rsidR="00227E07" w:rsidRPr="0058106B" w:rsidRDefault="00227E07" w:rsidP="001C791B">
            <w:pPr>
              <w:spacing w:before="0" w:after="0" w:line="240" w:lineRule="auto"/>
              <w:jc w:val="center"/>
              <w:rPr>
                <w:rFonts w:eastAsia="Times New Roman" w:cs="Arial"/>
                <w:sz w:val="18"/>
                <w:szCs w:val="18"/>
              </w:rPr>
            </w:pPr>
          </w:p>
        </w:tc>
        <w:tc>
          <w:tcPr>
            <w:tcW w:w="1390" w:type="dxa"/>
            <w:tcBorders>
              <w:left w:val="nil"/>
              <w:right w:val="nil"/>
            </w:tcBorders>
            <w:shd w:val="clear" w:color="auto" w:fill="auto"/>
            <w:noWrap/>
            <w:vAlign w:val="center"/>
          </w:tcPr>
          <w:p w14:paraId="53220D42" w14:textId="77777777" w:rsidR="00227E07" w:rsidRPr="0058106B" w:rsidRDefault="00227E07" w:rsidP="001C791B">
            <w:pPr>
              <w:spacing w:before="0" w:after="0" w:line="240" w:lineRule="auto"/>
              <w:jc w:val="center"/>
              <w:rPr>
                <w:rFonts w:eastAsia="Times New Roman" w:cs="Arial"/>
                <w:sz w:val="18"/>
                <w:szCs w:val="18"/>
              </w:rPr>
            </w:pPr>
          </w:p>
        </w:tc>
        <w:tc>
          <w:tcPr>
            <w:tcW w:w="1476" w:type="dxa"/>
            <w:tcBorders>
              <w:left w:val="nil"/>
              <w:right w:val="nil"/>
            </w:tcBorders>
            <w:shd w:val="clear" w:color="auto" w:fill="auto"/>
            <w:noWrap/>
            <w:vAlign w:val="center"/>
          </w:tcPr>
          <w:p w14:paraId="5C6374A4" w14:textId="77777777" w:rsidR="00227E07" w:rsidRPr="0058106B" w:rsidRDefault="00227E07" w:rsidP="001C791B">
            <w:pPr>
              <w:spacing w:before="0" w:after="0" w:line="240" w:lineRule="auto"/>
              <w:jc w:val="center"/>
              <w:rPr>
                <w:rFonts w:eastAsia="Times New Roman" w:cs="Arial"/>
                <w:sz w:val="18"/>
                <w:szCs w:val="18"/>
              </w:rPr>
            </w:pPr>
          </w:p>
        </w:tc>
        <w:tc>
          <w:tcPr>
            <w:tcW w:w="1174" w:type="dxa"/>
            <w:tcBorders>
              <w:left w:val="nil"/>
              <w:right w:val="nil"/>
            </w:tcBorders>
            <w:shd w:val="clear" w:color="auto" w:fill="auto"/>
            <w:noWrap/>
            <w:vAlign w:val="center"/>
          </w:tcPr>
          <w:p w14:paraId="6E7EA558" w14:textId="77777777" w:rsidR="00227E07" w:rsidRPr="0058106B" w:rsidRDefault="00227E07" w:rsidP="001C791B">
            <w:pPr>
              <w:spacing w:before="0" w:after="0" w:line="240" w:lineRule="auto"/>
              <w:jc w:val="center"/>
              <w:rPr>
                <w:rFonts w:eastAsia="Times New Roman" w:cs="Arial"/>
                <w:sz w:val="18"/>
                <w:szCs w:val="18"/>
              </w:rPr>
            </w:pPr>
          </w:p>
        </w:tc>
        <w:tc>
          <w:tcPr>
            <w:tcW w:w="1174" w:type="dxa"/>
            <w:tcBorders>
              <w:left w:val="nil"/>
              <w:right w:val="nil"/>
            </w:tcBorders>
            <w:shd w:val="clear" w:color="auto" w:fill="auto"/>
            <w:noWrap/>
            <w:vAlign w:val="center"/>
          </w:tcPr>
          <w:p w14:paraId="0B9A2525" w14:textId="77777777" w:rsidR="00227E07" w:rsidRPr="0058106B" w:rsidRDefault="00227E07" w:rsidP="001C791B">
            <w:pPr>
              <w:spacing w:before="0" w:after="0" w:line="240" w:lineRule="auto"/>
              <w:jc w:val="center"/>
              <w:rPr>
                <w:rFonts w:eastAsia="Times New Roman" w:cs="Arial"/>
                <w:sz w:val="18"/>
                <w:szCs w:val="18"/>
              </w:rPr>
            </w:pPr>
          </w:p>
        </w:tc>
      </w:tr>
      <w:tr w:rsidR="001C791B" w:rsidRPr="001C791B" w14:paraId="171967E2" w14:textId="77777777" w:rsidTr="0058106B">
        <w:trPr>
          <w:trHeight w:val="251"/>
        </w:trPr>
        <w:tc>
          <w:tcPr>
            <w:tcW w:w="5424" w:type="dxa"/>
            <w:tcBorders>
              <w:left w:val="nil"/>
              <w:bottom w:val="nil"/>
              <w:right w:val="nil"/>
            </w:tcBorders>
            <w:shd w:val="clear" w:color="auto" w:fill="auto"/>
            <w:noWrap/>
            <w:vAlign w:val="center"/>
            <w:hideMark/>
          </w:tcPr>
          <w:p w14:paraId="049AFB7F" w14:textId="6589A829" w:rsidR="001C791B" w:rsidRPr="0058106B" w:rsidRDefault="001C791B" w:rsidP="001C791B">
            <w:pPr>
              <w:spacing w:before="0" w:after="0" w:line="240" w:lineRule="auto"/>
              <w:ind w:left="113"/>
              <w:jc w:val="left"/>
              <w:rPr>
                <w:rFonts w:eastAsia="Times New Roman" w:cs="Arial"/>
                <w:sz w:val="18"/>
                <w:szCs w:val="18"/>
              </w:rPr>
            </w:pPr>
            <w:r w:rsidRPr="0058106B">
              <w:rPr>
                <w:rFonts w:cs="Arial"/>
                <w:sz w:val="18"/>
                <w:szCs w:val="18"/>
              </w:rPr>
              <w:t>Currently pregnant (0/1)</w:t>
            </w:r>
          </w:p>
        </w:tc>
        <w:tc>
          <w:tcPr>
            <w:tcW w:w="1390" w:type="dxa"/>
            <w:tcBorders>
              <w:left w:val="nil"/>
              <w:bottom w:val="nil"/>
              <w:right w:val="nil"/>
            </w:tcBorders>
            <w:shd w:val="clear" w:color="auto" w:fill="auto"/>
            <w:noWrap/>
            <w:vAlign w:val="center"/>
            <w:hideMark/>
          </w:tcPr>
          <w:p w14:paraId="48AED9D4" w14:textId="6D0513C5"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0.529</w:t>
            </w:r>
          </w:p>
        </w:tc>
        <w:tc>
          <w:tcPr>
            <w:tcW w:w="1390" w:type="dxa"/>
            <w:tcBorders>
              <w:left w:val="nil"/>
              <w:bottom w:val="nil"/>
              <w:right w:val="nil"/>
            </w:tcBorders>
            <w:shd w:val="clear" w:color="auto" w:fill="auto"/>
            <w:noWrap/>
            <w:vAlign w:val="center"/>
            <w:hideMark/>
          </w:tcPr>
          <w:p w14:paraId="76E777AC" w14:textId="76D4557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0.538</w:t>
            </w:r>
          </w:p>
        </w:tc>
        <w:tc>
          <w:tcPr>
            <w:tcW w:w="1390" w:type="dxa"/>
            <w:tcBorders>
              <w:left w:val="nil"/>
              <w:bottom w:val="nil"/>
              <w:right w:val="nil"/>
            </w:tcBorders>
            <w:shd w:val="clear" w:color="auto" w:fill="auto"/>
            <w:noWrap/>
            <w:vAlign w:val="center"/>
            <w:hideMark/>
          </w:tcPr>
          <w:p w14:paraId="28E703A3" w14:textId="4ADF9B75"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0.533</w:t>
            </w:r>
          </w:p>
        </w:tc>
        <w:tc>
          <w:tcPr>
            <w:tcW w:w="1476" w:type="dxa"/>
            <w:tcBorders>
              <w:left w:val="nil"/>
              <w:bottom w:val="nil"/>
              <w:right w:val="nil"/>
            </w:tcBorders>
            <w:shd w:val="clear" w:color="auto" w:fill="auto"/>
            <w:noWrap/>
            <w:vAlign w:val="center"/>
            <w:hideMark/>
          </w:tcPr>
          <w:p w14:paraId="41834B52" w14:textId="7F5BC0A0"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0.161</w:t>
            </w:r>
          </w:p>
        </w:tc>
        <w:tc>
          <w:tcPr>
            <w:tcW w:w="1174" w:type="dxa"/>
            <w:tcBorders>
              <w:left w:val="nil"/>
              <w:bottom w:val="nil"/>
              <w:right w:val="nil"/>
            </w:tcBorders>
            <w:shd w:val="clear" w:color="auto" w:fill="auto"/>
            <w:noWrap/>
            <w:vAlign w:val="center"/>
            <w:hideMark/>
          </w:tcPr>
          <w:p w14:paraId="64ED7116" w14:textId="7DF9B44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0.571</w:t>
            </w:r>
          </w:p>
        </w:tc>
        <w:tc>
          <w:tcPr>
            <w:tcW w:w="1174" w:type="dxa"/>
            <w:tcBorders>
              <w:left w:val="nil"/>
              <w:bottom w:val="nil"/>
              <w:right w:val="nil"/>
            </w:tcBorders>
            <w:shd w:val="clear" w:color="auto" w:fill="auto"/>
            <w:noWrap/>
            <w:vAlign w:val="center"/>
            <w:hideMark/>
          </w:tcPr>
          <w:p w14:paraId="04185334" w14:textId="6F8524C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0.487</w:t>
            </w:r>
          </w:p>
        </w:tc>
      </w:tr>
      <w:tr w:rsidR="001C791B" w:rsidRPr="001C791B" w14:paraId="35A802C2" w14:textId="77777777" w:rsidTr="001C791B">
        <w:trPr>
          <w:trHeight w:val="251"/>
        </w:trPr>
        <w:tc>
          <w:tcPr>
            <w:tcW w:w="5424" w:type="dxa"/>
            <w:tcBorders>
              <w:top w:val="nil"/>
              <w:left w:val="nil"/>
              <w:bottom w:val="nil"/>
              <w:right w:val="nil"/>
            </w:tcBorders>
            <w:shd w:val="clear" w:color="auto" w:fill="auto"/>
            <w:noWrap/>
            <w:vAlign w:val="center"/>
          </w:tcPr>
          <w:p w14:paraId="4DA25040" w14:textId="77777777" w:rsidR="001C791B" w:rsidRPr="0058106B" w:rsidRDefault="001C791B" w:rsidP="001C791B">
            <w:pPr>
              <w:spacing w:before="0" w:after="0" w:line="240" w:lineRule="auto"/>
              <w:ind w:left="113"/>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66ED9804" w14:textId="72E69EB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[0.005]</w:t>
            </w:r>
          </w:p>
        </w:tc>
        <w:tc>
          <w:tcPr>
            <w:tcW w:w="1390" w:type="dxa"/>
            <w:tcBorders>
              <w:top w:val="nil"/>
              <w:left w:val="nil"/>
              <w:bottom w:val="nil"/>
              <w:right w:val="nil"/>
            </w:tcBorders>
            <w:shd w:val="clear" w:color="auto" w:fill="auto"/>
            <w:noWrap/>
            <w:vAlign w:val="center"/>
          </w:tcPr>
          <w:p w14:paraId="43EDB974" w14:textId="1462E28A"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[0.005]</w:t>
            </w:r>
          </w:p>
        </w:tc>
        <w:tc>
          <w:tcPr>
            <w:tcW w:w="1390" w:type="dxa"/>
            <w:tcBorders>
              <w:top w:val="nil"/>
              <w:left w:val="nil"/>
              <w:bottom w:val="nil"/>
              <w:right w:val="nil"/>
            </w:tcBorders>
            <w:shd w:val="clear" w:color="auto" w:fill="auto"/>
            <w:noWrap/>
            <w:vAlign w:val="center"/>
          </w:tcPr>
          <w:p w14:paraId="11F0757A" w14:textId="309993E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[0.007]</w:t>
            </w:r>
          </w:p>
        </w:tc>
        <w:tc>
          <w:tcPr>
            <w:tcW w:w="1476" w:type="dxa"/>
            <w:tcBorders>
              <w:top w:val="nil"/>
              <w:left w:val="nil"/>
              <w:bottom w:val="nil"/>
              <w:right w:val="nil"/>
            </w:tcBorders>
            <w:shd w:val="clear" w:color="auto" w:fill="auto"/>
            <w:noWrap/>
            <w:vAlign w:val="center"/>
          </w:tcPr>
          <w:p w14:paraId="50D79718"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79CC6262"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30E754AB"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2D38D6F0" w14:textId="77777777" w:rsidTr="0058106B">
        <w:trPr>
          <w:trHeight w:val="251"/>
        </w:trPr>
        <w:tc>
          <w:tcPr>
            <w:tcW w:w="5424" w:type="dxa"/>
            <w:tcBorders>
              <w:top w:val="nil"/>
              <w:left w:val="nil"/>
              <w:bottom w:val="nil"/>
              <w:right w:val="nil"/>
            </w:tcBorders>
            <w:shd w:val="clear" w:color="auto" w:fill="auto"/>
            <w:noWrap/>
            <w:vAlign w:val="center"/>
            <w:hideMark/>
          </w:tcPr>
          <w:p w14:paraId="13790448" w14:textId="61E21B7F" w:rsidR="001C791B" w:rsidRPr="0058106B" w:rsidRDefault="001C791B" w:rsidP="001C791B">
            <w:pPr>
              <w:spacing w:before="0" w:after="0" w:line="240" w:lineRule="auto"/>
              <w:ind w:left="113"/>
              <w:jc w:val="left"/>
              <w:rPr>
                <w:rFonts w:eastAsia="Times New Roman" w:cs="Arial"/>
                <w:sz w:val="18"/>
                <w:szCs w:val="18"/>
              </w:rPr>
            </w:pPr>
            <w:r w:rsidRPr="0058106B">
              <w:rPr>
                <w:rFonts w:cs="Arial"/>
                <w:sz w:val="18"/>
                <w:szCs w:val="18"/>
              </w:rPr>
              <w:t>Child is 0-3 months old (0/1)</w:t>
            </w:r>
          </w:p>
        </w:tc>
        <w:tc>
          <w:tcPr>
            <w:tcW w:w="1390" w:type="dxa"/>
            <w:tcBorders>
              <w:top w:val="nil"/>
              <w:left w:val="nil"/>
              <w:bottom w:val="nil"/>
              <w:right w:val="nil"/>
            </w:tcBorders>
            <w:shd w:val="clear" w:color="auto" w:fill="auto"/>
            <w:noWrap/>
            <w:vAlign w:val="center"/>
            <w:hideMark/>
          </w:tcPr>
          <w:p w14:paraId="24A60CAF" w14:textId="3A45D28B"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0.214</w:t>
            </w:r>
          </w:p>
        </w:tc>
        <w:tc>
          <w:tcPr>
            <w:tcW w:w="1390" w:type="dxa"/>
            <w:tcBorders>
              <w:top w:val="nil"/>
              <w:left w:val="nil"/>
              <w:bottom w:val="nil"/>
              <w:right w:val="nil"/>
            </w:tcBorders>
            <w:shd w:val="clear" w:color="auto" w:fill="auto"/>
            <w:noWrap/>
            <w:vAlign w:val="center"/>
            <w:hideMark/>
          </w:tcPr>
          <w:p w14:paraId="114156D7" w14:textId="23AAFE8E"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0.180</w:t>
            </w:r>
          </w:p>
        </w:tc>
        <w:tc>
          <w:tcPr>
            <w:tcW w:w="1390" w:type="dxa"/>
            <w:tcBorders>
              <w:top w:val="nil"/>
              <w:left w:val="nil"/>
              <w:bottom w:val="nil"/>
              <w:right w:val="nil"/>
            </w:tcBorders>
            <w:shd w:val="clear" w:color="auto" w:fill="auto"/>
            <w:noWrap/>
            <w:vAlign w:val="center"/>
            <w:hideMark/>
          </w:tcPr>
          <w:p w14:paraId="12AD319A" w14:textId="71F4622D"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0.192</w:t>
            </w:r>
          </w:p>
        </w:tc>
        <w:tc>
          <w:tcPr>
            <w:tcW w:w="1476" w:type="dxa"/>
            <w:tcBorders>
              <w:top w:val="nil"/>
              <w:left w:val="nil"/>
              <w:bottom w:val="nil"/>
              <w:right w:val="nil"/>
            </w:tcBorders>
            <w:shd w:val="clear" w:color="auto" w:fill="auto"/>
            <w:noWrap/>
            <w:vAlign w:val="center"/>
            <w:hideMark/>
          </w:tcPr>
          <w:p w14:paraId="19549CF7" w14:textId="47675B5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0.047**</w:t>
            </w:r>
          </w:p>
        </w:tc>
        <w:tc>
          <w:tcPr>
            <w:tcW w:w="1174" w:type="dxa"/>
            <w:tcBorders>
              <w:top w:val="nil"/>
              <w:left w:val="nil"/>
              <w:bottom w:val="nil"/>
              <w:right w:val="nil"/>
            </w:tcBorders>
            <w:shd w:val="clear" w:color="auto" w:fill="auto"/>
            <w:noWrap/>
            <w:vAlign w:val="center"/>
            <w:hideMark/>
          </w:tcPr>
          <w:p w14:paraId="5E167629" w14:textId="6327461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0.250</w:t>
            </w:r>
          </w:p>
        </w:tc>
        <w:tc>
          <w:tcPr>
            <w:tcW w:w="1174" w:type="dxa"/>
            <w:tcBorders>
              <w:top w:val="nil"/>
              <w:left w:val="nil"/>
              <w:bottom w:val="nil"/>
              <w:right w:val="nil"/>
            </w:tcBorders>
            <w:shd w:val="clear" w:color="auto" w:fill="auto"/>
            <w:noWrap/>
            <w:vAlign w:val="center"/>
            <w:hideMark/>
          </w:tcPr>
          <w:p w14:paraId="1EBFF935" w14:textId="74B97A88"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0.472</w:t>
            </w:r>
          </w:p>
        </w:tc>
      </w:tr>
      <w:tr w:rsidR="001C791B" w:rsidRPr="001C791B" w14:paraId="371AE215" w14:textId="77777777" w:rsidTr="001C791B">
        <w:trPr>
          <w:trHeight w:val="251"/>
        </w:trPr>
        <w:tc>
          <w:tcPr>
            <w:tcW w:w="5424" w:type="dxa"/>
            <w:tcBorders>
              <w:top w:val="nil"/>
              <w:left w:val="nil"/>
              <w:bottom w:val="nil"/>
              <w:right w:val="nil"/>
            </w:tcBorders>
            <w:shd w:val="clear" w:color="auto" w:fill="auto"/>
            <w:noWrap/>
            <w:vAlign w:val="center"/>
          </w:tcPr>
          <w:p w14:paraId="3EEFEDE0" w14:textId="77777777" w:rsidR="001C791B" w:rsidRPr="0058106B" w:rsidRDefault="001C791B" w:rsidP="001C791B">
            <w:pPr>
              <w:spacing w:before="0" w:after="0" w:line="240" w:lineRule="auto"/>
              <w:ind w:left="113"/>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15858471" w14:textId="5ED501ED"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[0.011]</w:t>
            </w:r>
          </w:p>
        </w:tc>
        <w:tc>
          <w:tcPr>
            <w:tcW w:w="1390" w:type="dxa"/>
            <w:tcBorders>
              <w:top w:val="nil"/>
              <w:left w:val="nil"/>
              <w:bottom w:val="nil"/>
              <w:right w:val="nil"/>
            </w:tcBorders>
            <w:shd w:val="clear" w:color="auto" w:fill="auto"/>
            <w:noWrap/>
            <w:vAlign w:val="center"/>
          </w:tcPr>
          <w:p w14:paraId="3E36A344" w14:textId="2CB7CC2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[0.010]</w:t>
            </w:r>
          </w:p>
        </w:tc>
        <w:tc>
          <w:tcPr>
            <w:tcW w:w="1390" w:type="dxa"/>
            <w:tcBorders>
              <w:top w:val="nil"/>
              <w:left w:val="nil"/>
              <w:bottom w:val="nil"/>
              <w:right w:val="nil"/>
            </w:tcBorders>
            <w:shd w:val="clear" w:color="auto" w:fill="auto"/>
            <w:noWrap/>
            <w:vAlign w:val="center"/>
          </w:tcPr>
          <w:p w14:paraId="512234BB" w14:textId="22207D1E"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[0.014]</w:t>
            </w:r>
          </w:p>
        </w:tc>
        <w:tc>
          <w:tcPr>
            <w:tcW w:w="1476" w:type="dxa"/>
            <w:tcBorders>
              <w:top w:val="nil"/>
              <w:left w:val="nil"/>
              <w:bottom w:val="nil"/>
              <w:right w:val="nil"/>
            </w:tcBorders>
            <w:shd w:val="clear" w:color="auto" w:fill="auto"/>
            <w:noWrap/>
            <w:vAlign w:val="center"/>
          </w:tcPr>
          <w:p w14:paraId="284DB949"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48C9E6B5"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04A488A5"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14C36633" w14:textId="77777777" w:rsidTr="0058106B">
        <w:trPr>
          <w:trHeight w:val="251"/>
        </w:trPr>
        <w:tc>
          <w:tcPr>
            <w:tcW w:w="5424" w:type="dxa"/>
            <w:tcBorders>
              <w:top w:val="nil"/>
              <w:left w:val="nil"/>
              <w:bottom w:val="nil"/>
              <w:right w:val="nil"/>
            </w:tcBorders>
            <w:shd w:val="clear" w:color="auto" w:fill="auto"/>
            <w:noWrap/>
            <w:vAlign w:val="center"/>
            <w:hideMark/>
          </w:tcPr>
          <w:p w14:paraId="3AC481C8" w14:textId="0A9EB5DC" w:rsidR="001C791B" w:rsidRPr="0058106B" w:rsidRDefault="001C791B" w:rsidP="001C791B">
            <w:pPr>
              <w:spacing w:before="0" w:after="0" w:line="240" w:lineRule="auto"/>
              <w:ind w:left="113"/>
              <w:jc w:val="left"/>
              <w:rPr>
                <w:rFonts w:eastAsia="Times New Roman" w:cs="Arial"/>
                <w:sz w:val="18"/>
                <w:szCs w:val="18"/>
              </w:rPr>
            </w:pPr>
            <w:r w:rsidRPr="0058106B">
              <w:rPr>
                <w:rFonts w:cs="Arial"/>
                <w:sz w:val="18"/>
                <w:szCs w:val="18"/>
              </w:rPr>
              <w:t>Child is 4-6 months old (0/1)</w:t>
            </w:r>
          </w:p>
        </w:tc>
        <w:tc>
          <w:tcPr>
            <w:tcW w:w="1390" w:type="dxa"/>
            <w:tcBorders>
              <w:top w:val="nil"/>
              <w:left w:val="nil"/>
              <w:bottom w:val="nil"/>
              <w:right w:val="nil"/>
            </w:tcBorders>
            <w:shd w:val="clear" w:color="auto" w:fill="auto"/>
            <w:noWrap/>
            <w:vAlign w:val="center"/>
            <w:hideMark/>
          </w:tcPr>
          <w:p w14:paraId="1FB3A71B" w14:textId="05B3758B"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0.142</w:t>
            </w:r>
          </w:p>
        </w:tc>
        <w:tc>
          <w:tcPr>
            <w:tcW w:w="1390" w:type="dxa"/>
            <w:tcBorders>
              <w:top w:val="nil"/>
              <w:left w:val="nil"/>
              <w:bottom w:val="nil"/>
              <w:right w:val="nil"/>
            </w:tcBorders>
            <w:shd w:val="clear" w:color="auto" w:fill="auto"/>
            <w:noWrap/>
            <w:vAlign w:val="center"/>
            <w:hideMark/>
          </w:tcPr>
          <w:p w14:paraId="4A1E7B4B" w14:textId="50B106F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0.145</w:t>
            </w:r>
          </w:p>
        </w:tc>
        <w:tc>
          <w:tcPr>
            <w:tcW w:w="1390" w:type="dxa"/>
            <w:tcBorders>
              <w:top w:val="nil"/>
              <w:left w:val="nil"/>
              <w:bottom w:val="nil"/>
              <w:right w:val="nil"/>
            </w:tcBorders>
            <w:shd w:val="clear" w:color="auto" w:fill="auto"/>
            <w:noWrap/>
            <w:vAlign w:val="center"/>
            <w:hideMark/>
          </w:tcPr>
          <w:p w14:paraId="0E6CC6D6" w14:textId="32646D9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0.140</w:t>
            </w:r>
          </w:p>
        </w:tc>
        <w:tc>
          <w:tcPr>
            <w:tcW w:w="1476" w:type="dxa"/>
            <w:tcBorders>
              <w:top w:val="nil"/>
              <w:left w:val="nil"/>
              <w:bottom w:val="nil"/>
              <w:right w:val="nil"/>
            </w:tcBorders>
            <w:shd w:val="clear" w:color="auto" w:fill="auto"/>
            <w:noWrap/>
            <w:vAlign w:val="center"/>
            <w:hideMark/>
          </w:tcPr>
          <w:p w14:paraId="7E14CA5E" w14:textId="51CE425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0.970</w:t>
            </w:r>
          </w:p>
        </w:tc>
        <w:tc>
          <w:tcPr>
            <w:tcW w:w="1174" w:type="dxa"/>
            <w:tcBorders>
              <w:top w:val="nil"/>
              <w:left w:val="nil"/>
              <w:bottom w:val="nil"/>
              <w:right w:val="nil"/>
            </w:tcBorders>
            <w:shd w:val="clear" w:color="auto" w:fill="auto"/>
            <w:noWrap/>
            <w:vAlign w:val="center"/>
            <w:hideMark/>
          </w:tcPr>
          <w:p w14:paraId="7EA4750D" w14:textId="70D37AF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0.853</w:t>
            </w:r>
          </w:p>
        </w:tc>
        <w:tc>
          <w:tcPr>
            <w:tcW w:w="1174" w:type="dxa"/>
            <w:tcBorders>
              <w:top w:val="nil"/>
              <w:left w:val="nil"/>
              <w:bottom w:val="nil"/>
              <w:right w:val="nil"/>
            </w:tcBorders>
            <w:shd w:val="clear" w:color="auto" w:fill="auto"/>
            <w:noWrap/>
            <w:vAlign w:val="center"/>
            <w:hideMark/>
          </w:tcPr>
          <w:p w14:paraId="062B6C23" w14:textId="7C221A0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0.803</w:t>
            </w:r>
          </w:p>
        </w:tc>
      </w:tr>
      <w:tr w:rsidR="001C791B" w:rsidRPr="001C791B" w14:paraId="409D1325" w14:textId="77777777" w:rsidTr="001C791B">
        <w:trPr>
          <w:trHeight w:val="251"/>
        </w:trPr>
        <w:tc>
          <w:tcPr>
            <w:tcW w:w="5424" w:type="dxa"/>
            <w:tcBorders>
              <w:top w:val="nil"/>
              <w:left w:val="nil"/>
              <w:bottom w:val="nil"/>
              <w:right w:val="nil"/>
            </w:tcBorders>
            <w:shd w:val="clear" w:color="auto" w:fill="auto"/>
            <w:noWrap/>
            <w:vAlign w:val="center"/>
          </w:tcPr>
          <w:p w14:paraId="5DD03BAE" w14:textId="77777777" w:rsidR="001C791B" w:rsidRPr="0058106B" w:rsidRDefault="001C791B" w:rsidP="001C791B">
            <w:pPr>
              <w:spacing w:before="0" w:after="0" w:line="240" w:lineRule="auto"/>
              <w:ind w:left="113"/>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188E79F3" w14:textId="383AD31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[0.011]</w:t>
            </w:r>
          </w:p>
        </w:tc>
        <w:tc>
          <w:tcPr>
            <w:tcW w:w="1390" w:type="dxa"/>
            <w:tcBorders>
              <w:top w:val="nil"/>
              <w:left w:val="nil"/>
              <w:bottom w:val="nil"/>
              <w:right w:val="nil"/>
            </w:tcBorders>
            <w:shd w:val="clear" w:color="auto" w:fill="auto"/>
            <w:noWrap/>
            <w:vAlign w:val="center"/>
          </w:tcPr>
          <w:p w14:paraId="2CE91CCC" w14:textId="43C0F7C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[0.011]</w:t>
            </w:r>
          </w:p>
        </w:tc>
        <w:tc>
          <w:tcPr>
            <w:tcW w:w="1390" w:type="dxa"/>
            <w:tcBorders>
              <w:top w:val="nil"/>
              <w:left w:val="nil"/>
              <w:bottom w:val="nil"/>
              <w:right w:val="nil"/>
            </w:tcBorders>
            <w:shd w:val="clear" w:color="auto" w:fill="auto"/>
            <w:noWrap/>
            <w:vAlign w:val="center"/>
          </w:tcPr>
          <w:p w14:paraId="06027676" w14:textId="5CEDEEF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[0.010]</w:t>
            </w:r>
          </w:p>
        </w:tc>
        <w:tc>
          <w:tcPr>
            <w:tcW w:w="1476" w:type="dxa"/>
            <w:tcBorders>
              <w:top w:val="nil"/>
              <w:left w:val="nil"/>
              <w:bottom w:val="nil"/>
              <w:right w:val="nil"/>
            </w:tcBorders>
            <w:shd w:val="clear" w:color="auto" w:fill="auto"/>
            <w:noWrap/>
            <w:vAlign w:val="center"/>
          </w:tcPr>
          <w:p w14:paraId="278730C2"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08665C8B"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59F900B5"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5F31BFD3" w14:textId="77777777" w:rsidTr="0058106B">
        <w:trPr>
          <w:trHeight w:val="251"/>
        </w:trPr>
        <w:tc>
          <w:tcPr>
            <w:tcW w:w="5424" w:type="dxa"/>
            <w:tcBorders>
              <w:top w:val="nil"/>
              <w:left w:val="nil"/>
              <w:bottom w:val="nil"/>
              <w:right w:val="nil"/>
            </w:tcBorders>
            <w:shd w:val="clear" w:color="auto" w:fill="auto"/>
            <w:noWrap/>
            <w:vAlign w:val="center"/>
            <w:hideMark/>
          </w:tcPr>
          <w:p w14:paraId="401D664E" w14:textId="434D110D" w:rsidR="001C791B" w:rsidRPr="0058106B" w:rsidRDefault="001C791B" w:rsidP="001C791B">
            <w:pPr>
              <w:spacing w:before="0" w:after="0" w:line="240" w:lineRule="auto"/>
              <w:ind w:left="113"/>
              <w:jc w:val="left"/>
              <w:rPr>
                <w:rFonts w:eastAsia="Times New Roman" w:cs="Arial"/>
                <w:sz w:val="18"/>
                <w:szCs w:val="18"/>
              </w:rPr>
            </w:pPr>
            <w:r w:rsidRPr="0058106B">
              <w:rPr>
                <w:rFonts w:cs="Arial"/>
                <w:sz w:val="18"/>
                <w:szCs w:val="18"/>
              </w:rPr>
              <w:t>Child is 7-9 months old (0/1)</w:t>
            </w:r>
          </w:p>
        </w:tc>
        <w:tc>
          <w:tcPr>
            <w:tcW w:w="1390" w:type="dxa"/>
            <w:tcBorders>
              <w:top w:val="nil"/>
              <w:left w:val="nil"/>
              <w:bottom w:val="nil"/>
              <w:right w:val="nil"/>
            </w:tcBorders>
            <w:shd w:val="clear" w:color="auto" w:fill="auto"/>
            <w:noWrap/>
            <w:vAlign w:val="center"/>
            <w:hideMark/>
          </w:tcPr>
          <w:p w14:paraId="42EA8EF5" w14:textId="7E93F47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0.113</w:t>
            </w:r>
          </w:p>
        </w:tc>
        <w:tc>
          <w:tcPr>
            <w:tcW w:w="1390" w:type="dxa"/>
            <w:tcBorders>
              <w:top w:val="nil"/>
              <w:left w:val="nil"/>
              <w:bottom w:val="nil"/>
              <w:right w:val="nil"/>
            </w:tcBorders>
            <w:shd w:val="clear" w:color="auto" w:fill="auto"/>
            <w:noWrap/>
            <w:vAlign w:val="center"/>
            <w:hideMark/>
          </w:tcPr>
          <w:p w14:paraId="3B7B37ED" w14:textId="0D1663C8"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0.136</w:t>
            </w:r>
          </w:p>
        </w:tc>
        <w:tc>
          <w:tcPr>
            <w:tcW w:w="1390" w:type="dxa"/>
            <w:tcBorders>
              <w:top w:val="nil"/>
              <w:left w:val="nil"/>
              <w:bottom w:val="nil"/>
              <w:right w:val="nil"/>
            </w:tcBorders>
            <w:shd w:val="clear" w:color="auto" w:fill="auto"/>
            <w:noWrap/>
            <w:vAlign w:val="center"/>
            <w:hideMark/>
          </w:tcPr>
          <w:p w14:paraId="011D60A9" w14:textId="2EFEAE86"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0.133</w:t>
            </w:r>
          </w:p>
        </w:tc>
        <w:tc>
          <w:tcPr>
            <w:tcW w:w="1476" w:type="dxa"/>
            <w:tcBorders>
              <w:top w:val="nil"/>
              <w:left w:val="nil"/>
              <w:bottom w:val="nil"/>
              <w:right w:val="nil"/>
            </w:tcBorders>
            <w:shd w:val="clear" w:color="auto" w:fill="auto"/>
            <w:noWrap/>
            <w:vAlign w:val="center"/>
            <w:hideMark/>
          </w:tcPr>
          <w:p w14:paraId="5F11D38A" w14:textId="7B7A0D5D"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0.157</w:t>
            </w:r>
          </w:p>
        </w:tc>
        <w:tc>
          <w:tcPr>
            <w:tcW w:w="1174" w:type="dxa"/>
            <w:tcBorders>
              <w:top w:val="nil"/>
              <w:left w:val="nil"/>
              <w:bottom w:val="nil"/>
              <w:right w:val="nil"/>
            </w:tcBorders>
            <w:shd w:val="clear" w:color="auto" w:fill="auto"/>
            <w:noWrap/>
            <w:vAlign w:val="center"/>
            <w:hideMark/>
          </w:tcPr>
          <w:p w14:paraId="49ED2C0D" w14:textId="145F9BF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0.186</w:t>
            </w:r>
          </w:p>
        </w:tc>
        <w:tc>
          <w:tcPr>
            <w:tcW w:w="1174" w:type="dxa"/>
            <w:tcBorders>
              <w:top w:val="nil"/>
              <w:left w:val="nil"/>
              <w:bottom w:val="nil"/>
              <w:right w:val="nil"/>
            </w:tcBorders>
            <w:shd w:val="clear" w:color="auto" w:fill="auto"/>
            <w:noWrap/>
            <w:vAlign w:val="center"/>
            <w:hideMark/>
          </w:tcPr>
          <w:p w14:paraId="2ABFC8A3" w14:textId="32EE9A29"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0.876</w:t>
            </w:r>
          </w:p>
        </w:tc>
      </w:tr>
      <w:tr w:rsidR="001C791B" w:rsidRPr="001C791B" w14:paraId="0A4018F0" w14:textId="77777777" w:rsidTr="001C791B">
        <w:trPr>
          <w:trHeight w:val="251"/>
        </w:trPr>
        <w:tc>
          <w:tcPr>
            <w:tcW w:w="5424" w:type="dxa"/>
            <w:tcBorders>
              <w:top w:val="nil"/>
              <w:left w:val="nil"/>
              <w:bottom w:val="nil"/>
              <w:right w:val="nil"/>
            </w:tcBorders>
            <w:shd w:val="clear" w:color="auto" w:fill="auto"/>
            <w:noWrap/>
            <w:vAlign w:val="center"/>
          </w:tcPr>
          <w:p w14:paraId="42C8A4B8"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26640841" w14:textId="1D3B9B36"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[0.010]</w:t>
            </w:r>
          </w:p>
        </w:tc>
        <w:tc>
          <w:tcPr>
            <w:tcW w:w="1390" w:type="dxa"/>
            <w:tcBorders>
              <w:top w:val="nil"/>
              <w:left w:val="nil"/>
              <w:bottom w:val="nil"/>
              <w:right w:val="nil"/>
            </w:tcBorders>
            <w:shd w:val="clear" w:color="auto" w:fill="auto"/>
            <w:noWrap/>
            <w:vAlign w:val="center"/>
          </w:tcPr>
          <w:p w14:paraId="669D5E2F" w14:textId="12BE32F9"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[0.012]</w:t>
            </w:r>
          </w:p>
        </w:tc>
        <w:tc>
          <w:tcPr>
            <w:tcW w:w="1390" w:type="dxa"/>
            <w:tcBorders>
              <w:top w:val="nil"/>
              <w:left w:val="nil"/>
              <w:bottom w:val="nil"/>
              <w:right w:val="nil"/>
            </w:tcBorders>
            <w:shd w:val="clear" w:color="auto" w:fill="auto"/>
            <w:noWrap/>
            <w:vAlign w:val="center"/>
          </w:tcPr>
          <w:p w14:paraId="3E33103C" w14:textId="25B63175"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[0.010]</w:t>
            </w:r>
          </w:p>
        </w:tc>
        <w:tc>
          <w:tcPr>
            <w:tcW w:w="1476" w:type="dxa"/>
            <w:tcBorders>
              <w:top w:val="nil"/>
              <w:left w:val="nil"/>
              <w:bottom w:val="nil"/>
              <w:right w:val="nil"/>
            </w:tcBorders>
            <w:shd w:val="clear" w:color="auto" w:fill="auto"/>
            <w:noWrap/>
            <w:vAlign w:val="center"/>
          </w:tcPr>
          <w:p w14:paraId="48029B7F"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27143ED7"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4EBB8091"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6AD17A46" w14:textId="77777777" w:rsidTr="0058106B">
        <w:trPr>
          <w:trHeight w:val="251"/>
        </w:trPr>
        <w:tc>
          <w:tcPr>
            <w:tcW w:w="5424" w:type="dxa"/>
            <w:tcBorders>
              <w:top w:val="nil"/>
              <w:left w:val="nil"/>
              <w:bottom w:val="nil"/>
              <w:right w:val="nil"/>
            </w:tcBorders>
            <w:shd w:val="clear" w:color="auto" w:fill="auto"/>
            <w:noWrap/>
            <w:vAlign w:val="center"/>
            <w:hideMark/>
          </w:tcPr>
          <w:p w14:paraId="6599FB1C" w14:textId="069CEB6B"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Household size</w:t>
            </w:r>
          </w:p>
        </w:tc>
        <w:tc>
          <w:tcPr>
            <w:tcW w:w="1390" w:type="dxa"/>
            <w:tcBorders>
              <w:top w:val="nil"/>
              <w:left w:val="nil"/>
              <w:bottom w:val="nil"/>
              <w:right w:val="nil"/>
            </w:tcBorders>
            <w:shd w:val="clear" w:color="auto" w:fill="auto"/>
            <w:noWrap/>
            <w:vAlign w:val="center"/>
            <w:hideMark/>
          </w:tcPr>
          <w:p w14:paraId="5F43480C" w14:textId="4D001726"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5.407</w:t>
            </w:r>
          </w:p>
        </w:tc>
        <w:tc>
          <w:tcPr>
            <w:tcW w:w="1390" w:type="dxa"/>
            <w:tcBorders>
              <w:top w:val="nil"/>
              <w:left w:val="nil"/>
              <w:bottom w:val="nil"/>
              <w:right w:val="nil"/>
            </w:tcBorders>
            <w:shd w:val="clear" w:color="auto" w:fill="auto"/>
            <w:noWrap/>
            <w:vAlign w:val="center"/>
            <w:hideMark/>
          </w:tcPr>
          <w:p w14:paraId="332FDD43" w14:textId="1784FE40"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5.375</w:t>
            </w:r>
          </w:p>
        </w:tc>
        <w:tc>
          <w:tcPr>
            <w:tcW w:w="1390" w:type="dxa"/>
            <w:tcBorders>
              <w:top w:val="nil"/>
              <w:left w:val="nil"/>
              <w:bottom w:val="nil"/>
              <w:right w:val="nil"/>
            </w:tcBorders>
            <w:shd w:val="clear" w:color="auto" w:fill="auto"/>
            <w:noWrap/>
            <w:vAlign w:val="center"/>
            <w:hideMark/>
          </w:tcPr>
          <w:p w14:paraId="4E481234" w14:textId="641A90E0"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5.401</w:t>
            </w:r>
          </w:p>
        </w:tc>
        <w:tc>
          <w:tcPr>
            <w:tcW w:w="1476" w:type="dxa"/>
            <w:tcBorders>
              <w:top w:val="nil"/>
              <w:left w:val="nil"/>
              <w:bottom w:val="nil"/>
              <w:right w:val="nil"/>
            </w:tcBorders>
            <w:shd w:val="clear" w:color="auto" w:fill="auto"/>
            <w:noWrap/>
            <w:vAlign w:val="center"/>
            <w:hideMark/>
          </w:tcPr>
          <w:p w14:paraId="3DEF3DF1" w14:textId="6A34C0FB"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0.581</w:t>
            </w:r>
          </w:p>
        </w:tc>
        <w:tc>
          <w:tcPr>
            <w:tcW w:w="1174" w:type="dxa"/>
            <w:tcBorders>
              <w:top w:val="nil"/>
              <w:left w:val="nil"/>
              <w:bottom w:val="nil"/>
              <w:right w:val="nil"/>
            </w:tcBorders>
            <w:shd w:val="clear" w:color="auto" w:fill="auto"/>
            <w:noWrap/>
            <w:vAlign w:val="center"/>
            <w:hideMark/>
          </w:tcPr>
          <w:p w14:paraId="1E28135B" w14:textId="04DC54B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0.538</w:t>
            </w:r>
          </w:p>
        </w:tc>
        <w:tc>
          <w:tcPr>
            <w:tcW w:w="1174" w:type="dxa"/>
            <w:tcBorders>
              <w:top w:val="nil"/>
              <w:left w:val="nil"/>
              <w:bottom w:val="nil"/>
              <w:right w:val="nil"/>
            </w:tcBorders>
            <w:shd w:val="clear" w:color="auto" w:fill="auto"/>
            <w:noWrap/>
            <w:vAlign w:val="center"/>
            <w:hideMark/>
          </w:tcPr>
          <w:p w14:paraId="027B4482" w14:textId="13A9FFA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0.287</w:t>
            </w:r>
          </w:p>
        </w:tc>
      </w:tr>
      <w:tr w:rsidR="001C791B" w:rsidRPr="001C791B" w14:paraId="4F4B0E87" w14:textId="77777777" w:rsidTr="001C791B">
        <w:trPr>
          <w:trHeight w:val="251"/>
        </w:trPr>
        <w:tc>
          <w:tcPr>
            <w:tcW w:w="5424" w:type="dxa"/>
            <w:tcBorders>
              <w:top w:val="nil"/>
              <w:left w:val="nil"/>
              <w:bottom w:val="nil"/>
              <w:right w:val="nil"/>
            </w:tcBorders>
            <w:shd w:val="clear" w:color="auto" w:fill="auto"/>
            <w:noWrap/>
            <w:vAlign w:val="center"/>
          </w:tcPr>
          <w:p w14:paraId="3B52D0B7"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731DE228" w14:textId="74713F2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[0.118]</w:t>
            </w:r>
          </w:p>
        </w:tc>
        <w:tc>
          <w:tcPr>
            <w:tcW w:w="1390" w:type="dxa"/>
            <w:tcBorders>
              <w:top w:val="nil"/>
              <w:left w:val="nil"/>
              <w:bottom w:val="nil"/>
              <w:right w:val="nil"/>
            </w:tcBorders>
            <w:shd w:val="clear" w:color="auto" w:fill="auto"/>
            <w:noWrap/>
            <w:vAlign w:val="center"/>
          </w:tcPr>
          <w:p w14:paraId="5C7A0507" w14:textId="3791E49D"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[0.116]</w:t>
            </w:r>
          </w:p>
        </w:tc>
        <w:tc>
          <w:tcPr>
            <w:tcW w:w="1390" w:type="dxa"/>
            <w:tcBorders>
              <w:top w:val="nil"/>
              <w:left w:val="nil"/>
              <w:bottom w:val="nil"/>
              <w:right w:val="nil"/>
            </w:tcBorders>
            <w:shd w:val="clear" w:color="auto" w:fill="auto"/>
            <w:noWrap/>
            <w:vAlign w:val="center"/>
          </w:tcPr>
          <w:p w14:paraId="501FB7FB" w14:textId="72FC1C4B"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[0.122]</w:t>
            </w:r>
          </w:p>
        </w:tc>
        <w:tc>
          <w:tcPr>
            <w:tcW w:w="1476" w:type="dxa"/>
            <w:tcBorders>
              <w:top w:val="nil"/>
              <w:left w:val="nil"/>
              <w:bottom w:val="nil"/>
              <w:right w:val="nil"/>
            </w:tcBorders>
            <w:shd w:val="clear" w:color="auto" w:fill="auto"/>
            <w:noWrap/>
            <w:vAlign w:val="center"/>
          </w:tcPr>
          <w:p w14:paraId="6BE1FB3D"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577031F1"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0638E237"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5B9AB8EB" w14:textId="77777777" w:rsidTr="0058106B">
        <w:trPr>
          <w:trHeight w:val="251"/>
        </w:trPr>
        <w:tc>
          <w:tcPr>
            <w:tcW w:w="5424" w:type="dxa"/>
            <w:tcBorders>
              <w:top w:val="nil"/>
              <w:left w:val="nil"/>
              <w:bottom w:val="nil"/>
              <w:right w:val="nil"/>
            </w:tcBorders>
            <w:shd w:val="clear" w:color="auto" w:fill="auto"/>
            <w:noWrap/>
            <w:vAlign w:val="center"/>
            <w:hideMark/>
          </w:tcPr>
          <w:p w14:paraId="2B6A48F2" w14:textId="35750F04"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Primary female has some formal education (0/1)</w:t>
            </w:r>
          </w:p>
        </w:tc>
        <w:tc>
          <w:tcPr>
            <w:tcW w:w="1390" w:type="dxa"/>
            <w:tcBorders>
              <w:top w:val="nil"/>
              <w:left w:val="nil"/>
              <w:bottom w:val="nil"/>
              <w:right w:val="nil"/>
            </w:tcBorders>
            <w:shd w:val="clear" w:color="auto" w:fill="auto"/>
            <w:noWrap/>
            <w:vAlign w:val="center"/>
            <w:hideMark/>
          </w:tcPr>
          <w:p w14:paraId="277D28D5" w14:textId="66CDCAB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0.444</w:t>
            </w:r>
          </w:p>
        </w:tc>
        <w:tc>
          <w:tcPr>
            <w:tcW w:w="1390" w:type="dxa"/>
            <w:tcBorders>
              <w:top w:val="nil"/>
              <w:left w:val="nil"/>
              <w:bottom w:val="nil"/>
              <w:right w:val="nil"/>
            </w:tcBorders>
            <w:shd w:val="clear" w:color="auto" w:fill="auto"/>
            <w:noWrap/>
            <w:vAlign w:val="center"/>
            <w:hideMark/>
          </w:tcPr>
          <w:p w14:paraId="079440B5" w14:textId="7FE6CC8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0.423</w:t>
            </w:r>
          </w:p>
        </w:tc>
        <w:tc>
          <w:tcPr>
            <w:tcW w:w="1390" w:type="dxa"/>
            <w:tcBorders>
              <w:top w:val="nil"/>
              <w:left w:val="nil"/>
              <w:bottom w:val="nil"/>
              <w:right w:val="nil"/>
            </w:tcBorders>
            <w:shd w:val="clear" w:color="auto" w:fill="auto"/>
            <w:noWrap/>
            <w:vAlign w:val="center"/>
            <w:hideMark/>
          </w:tcPr>
          <w:p w14:paraId="5D83249D" w14:textId="544084F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0.428</w:t>
            </w:r>
          </w:p>
        </w:tc>
        <w:tc>
          <w:tcPr>
            <w:tcW w:w="1476" w:type="dxa"/>
            <w:tcBorders>
              <w:top w:val="nil"/>
              <w:left w:val="nil"/>
              <w:bottom w:val="nil"/>
              <w:right w:val="nil"/>
            </w:tcBorders>
            <w:shd w:val="clear" w:color="auto" w:fill="auto"/>
            <w:noWrap/>
            <w:vAlign w:val="center"/>
            <w:hideMark/>
          </w:tcPr>
          <w:p w14:paraId="0B20721B" w14:textId="4A3B0886"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0.633</w:t>
            </w:r>
          </w:p>
        </w:tc>
        <w:tc>
          <w:tcPr>
            <w:tcW w:w="1174" w:type="dxa"/>
            <w:tcBorders>
              <w:top w:val="nil"/>
              <w:left w:val="nil"/>
              <w:bottom w:val="nil"/>
              <w:right w:val="nil"/>
            </w:tcBorders>
            <w:shd w:val="clear" w:color="auto" w:fill="auto"/>
            <w:noWrap/>
            <w:vAlign w:val="center"/>
            <w:hideMark/>
          </w:tcPr>
          <w:p w14:paraId="76C62BD4" w14:textId="55C2C70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0.527</w:t>
            </w:r>
          </w:p>
        </w:tc>
        <w:tc>
          <w:tcPr>
            <w:tcW w:w="1174" w:type="dxa"/>
            <w:tcBorders>
              <w:top w:val="nil"/>
              <w:left w:val="nil"/>
              <w:bottom w:val="nil"/>
              <w:right w:val="nil"/>
            </w:tcBorders>
            <w:shd w:val="clear" w:color="auto" w:fill="auto"/>
            <w:noWrap/>
            <w:vAlign w:val="center"/>
            <w:hideMark/>
          </w:tcPr>
          <w:p w14:paraId="2B8C62CC" w14:textId="2C5978C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0.878</w:t>
            </w:r>
          </w:p>
        </w:tc>
      </w:tr>
      <w:tr w:rsidR="001C791B" w:rsidRPr="001C791B" w14:paraId="5D100EAF" w14:textId="77777777" w:rsidTr="001C791B">
        <w:trPr>
          <w:trHeight w:val="251"/>
        </w:trPr>
        <w:tc>
          <w:tcPr>
            <w:tcW w:w="5424" w:type="dxa"/>
            <w:tcBorders>
              <w:top w:val="nil"/>
              <w:left w:val="nil"/>
              <w:bottom w:val="nil"/>
              <w:right w:val="nil"/>
            </w:tcBorders>
            <w:shd w:val="clear" w:color="auto" w:fill="auto"/>
            <w:noWrap/>
            <w:vAlign w:val="center"/>
          </w:tcPr>
          <w:p w14:paraId="404278FB"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512806B4" w14:textId="6B76C37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[0.021]</w:t>
            </w:r>
          </w:p>
        </w:tc>
        <w:tc>
          <w:tcPr>
            <w:tcW w:w="1390" w:type="dxa"/>
            <w:tcBorders>
              <w:top w:val="nil"/>
              <w:left w:val="nil"/>
              <w:bottom w:val="nil"/>
              <w:right w:val="nil"/>
            </w:tcBorders>
            <w:shd w:val="clear" w:color="auto" w:fill="auto"/>
            <w:noWrap/>
            <w:vAlign w:val="center"/>
          </w:tcPr>
          <w:p w14:paraId="07961936" w14:textId="463669C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[0.019]</w:t>
            </w:r>
          </w:p>
        </w:tc>
        <w:tc>
          <w:tcPr>
            <w:tcW w:w="1390" w:type="dxa"/>
            <w:tcBorders>
              <w:top w:val="nil"/>
              <w:left w:val="nil"/>
              <w:bottom w:val="nil"/>
              <w:right w:val="nil"/>
            </w:tcBorders>
            <w:shd w:val="clear" w:color="auto" w:fill="auto"/>
            <w:noWrap/>
            <w:vAlign w:val="center"/>
          </w:tcPr>
          <w:p w14:paraId="2451DCB9" w14:textId="3084D4BB"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[0.021]</w:t>
            </w:r>
          </w:p>
        </w:tc>
        <w:tc>
          <w:tcPr>
            <w:tcW w:w="1476" w:type="dxa"/>
            <w:tcBorders>
              <w:top w:val="nil"/>
              <w:left w:val="nil"/>
              <w:bottom w:val="nil"/>
              <w:right w:val="nil"/>
            </w:tcBorders>
            <w:shd w:val="clear" w:color="auto" w:fill="auto"/>
            <w:noWrap/>
            <w:vAlign w:val="center"/>
          </w:tcPr>
          <w:p w14:paraId="738D7035"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14169AA4"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423742F2"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6DD66059" w14:textId="77777777" w:rsidTr="0058106B">
        <w:trPr>
          <w:trHeight w:val="251"/>
        </w:trPr>
        <w:tc>
          <w:tcPr>
            <w:tcW w:w="5424" w:type="dxa"/>
            <w:tcBorders>
              <w:top w:val="nil"/>
              <w:left w:val="nil"/>
              <w:bottom w:val="nil"/>
              <w:right w:val="nil"/>
            </w:tcBorders>
            <w:shd w:val="clear" w:color="auto" w:fill="auto"/>
            <w:noWrap/>
            <w:vAlign w:val="center"/>
            <w:hideMark/>
          </w:tcPr>
          <w:p w14:paraId="0CB1889B" w14:textId="7F7A8CEE"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Mother's IYCF knowledge score (max 11 points)</w:t>
            </w:r>
          </w:p>
        </w:tc>
        <w:tc>
          <w:tcPr>
            <w:tcW w:w="1390" w:type="dxa"/>
            <w:tcBorders>
              <w:top w:val="nil"/>
              <w:left w:val="nil"/>
              <w:bottom w:val="nil"/>
              <w:right w:val="nil"/>
            </w:tcBorders>
            <w:shd w:val="clear" w:color="auto" w:fill="auto"/>
            <w:noWrap/>
            <w:vAlign w:val="center"/>
            <w:hideMark/>
          </w:tcPr>
          <w:p w14:paraId="11D24B99" w14:textId="1B7D7A3A"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8.454</w:t>
            </w:r>
          </w:p>
        </w:tc>
        <w:tc>
          <w:tcPr>
            <w:tcW w:w="1390" w:type="dxa"/>
            <w:tcBorders>
              <w:top w:val="nil"/>
              <w:left w:val="nil"/>
              <w:bottom w:val="nil"/>
              <w:right w:val="nil"/>
            </w:tcBorders>
            <w:shd w:val="clear" w:color="auto" w:fill="auto"/>
            <w:noWrap/>
            <w:vAlign w:val="center"/>
            <w:hideMark/>
          </w:tcPr>
          <w:p w14:paraId="4BAAE348" w14:textId="37C6CEF9"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8.522</w:t>
            </w:r>
          </w:p>
        </w:tc>
        <w:tc>
          <w:tcPr>
            <w:tcW w:w="1390" w:type="dxa"/>
            <w:tcBorders>
              <w:top w:val="nil"/>
              <w:left w:val="nil"/>
              <w:bottom w:val="nil"/>
              <w:right w:val="nil"/>
            </w:tcBorders>
            <w:shd w:val="clear" w:color="auto" w:fill="auto"/>
            <w:noWrap/>
            <w:vAlign w:val="center"/>
            <w:hideMark/>
          </w:tcPr>
          <w:p w14:paraId="75DE0B8F" w14:textId="60FF005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8.327</w:t>
            </w:r>
          </w:p>
        </w:tc>
        <w:tc>
          <w:tcPr>
            <w:tcW w:w="1476" w:type="dxa"/>
            <w:tcBorders>
              <w:top w:val="nil"/>
              <w:left w:val="nil"/>
              <w:bottom w:val="nil"/>
              <w:right w:val="nil"/>
            </w:tcBorders>
            <w:shd w:val="clear" w:color="auto" w:fill="auto"/>
            <w:noWrap/>
            <w:vAlign w:val="center"/>
            <w:hideMark/>
          </w:tcPr>
          <w:p w14:paraId="626E54F3" w14:textId="31BE152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0.412</w:t>
            </w:r>
          </w:p>
        </w:tc>
        <w:tc>
          <w:tcPr>
            <w:tcW w:w="1174" w:type="dxa"/>
            <w:tcBorders>
              <w:top w:val="nil"/>
              <w:left w:val="nil"/>
              <w:bottom w:val="nil"/>
              <w:right w:val="nil"/>
            </w:tcBorders>
            <w:shd w:val="clear" w:color="auto" w:fill="auto"/>
            <w:noWrap/>
            <w:vAlign w:val="center"/>
            <w:hideMark/>
          </w:tcPr>
          <w:p w14:paraId="3DBDCC9D" w14:textId="643E4E6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0.565</w:t>
            </w:r>
          </w:p>
        </w:tc>
        <w:tc>
          <w:tcPr>
            <w:tcW w:w="1174" w:type="dxa"/>
            <w:tcBorders>
              <w:top w:val="nil"/>
              <w:left w:val="nil"/>
              <w:bottom w:val="nil"/>
              <w:right w:val="nil"/>
            </w:tcBorders>
            <w:shd w:val="clear" w:color="auto" w:fill="auto"/>
            <w:noWrap/>
            <w:vAlign w:val="center"/>
            <w:hideMark/>
          </w:tcPr>
          <w:p w14:paraId="355F70D0" w14:textId="4553ED4A"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0.889</w:t>
            </w:r>
          </w:p>
        </w:tc>
      </w:tr>
      <w:tr w:rsidR="001C791B" w:rsidRPr="001C791B" w14:paraId="7B5E1AF1" w14:textId="77777777" w:rsidTr="001C791B">
        <w:trPr>
          <w:trHeight w:val="251"/>
        </w:trPr>
        <w:tc>
          <w:tcPr>
            <w:tcW w:w="5424" w:type="dxa"/>
            <w:tcBorders>
              <w:top w:val="nil"/>
              <w:left w:val="nil"/>
              <w:bottom w:val="nil"/>
              <w:right w:val="nil"/>
            </w:tcBorders>
            <w:shd w:val="clear" w:color="auto" w:fill="auto"/>
            <w:noWrap/>
            <w:vAlign w:val="center"/>
          </w:tcPr>
          <w:p w14:paraId="44E4E2DE"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1BE02A07" w14:textId="37DAEEE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[0.154]</w:t>
            </w:r>
          </w:p>
        </w:tc>
        <w:tc>
          <w:tcPr>
            <w:tcW w:w="1390" w:type="dxa"/>
            <w:tcBorders>
              <w:top w:val="nil"/>
              <w:left w:val="nil"/>
              <w:bottom w:val="nil"/>
              <w:right w:val="nil"/>
            </w:tcBorders>
            <w:shd w:val="clear" w:color="auto" w:fill="auto"/>
            <w:noWrap/>
            <w:vAlign w:val="center"/>
          </w:tcPr>
          <w:p w14:paraId="01B91E0C" w14:textId="650B2698"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[0.157]</w:t>
            </w:r>
          </w:p>
        </w:tc>
        <w:tc>
          <w:tcPr>
            <w:tcW w:w="1390" w:type="dxa"/>
            <w:tcBorders>
              <w:top w:val="nil"/>
              <w:left w:val="nil"/>
              <w:bottom w:val="nil"/>
              <w:right w:val="nil"/>
            </w:tcBorders>
            <w:shd w:val="clear" w:color="auto" w:fill="auto"/>
            <w:noWrap/>
            <w:vAlign w:val="center"/>
          </w:tcPr>
          <w:p w14:paraId="35C25B1F" w14:textId="77D494E5"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[0.167]</w:t>
            </w:r>
          </w:p>
        </w:tc>
        <w:tc>
          <w:tcPr>
            <w:tcW w:w="1476" w:type="dxa"/>
            <w:tcBorders>
              <w:top w:val="nil"/>
              <w:left w:val="nil"/>
              <w:bottom w:val="nil"/>
              <w:right w:val="nil"/>
            </w:tcBorders>
            <w:shd w:val="clear" w:color="auto" w:fill="auto"/>
            <w:noWrap/>
            <w:vAlign w:val="center"/>
          </w:tcPr>
          <w:p w14:paraId="7C2E86E8"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1FFA708A"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65BC1427"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2E7BF4C1" w14:textId="77777777" w:rsidTr="0058106B">
        <w:trPr>
          <w:trHeight w:val="251"/>
        </w:trPr>
        <w:tc>
          <w:tcPr>
            <w:tcW w:w="5424" w:type="dxa"/>
            <w:tcBorders>
              <w:top w:val="nil"/>
              <w:left w:val="nil"/>
              <w:bottom w:val="nil"/>
              <w:right w:val="nil"/>
            </w:tcBorders>
            <w:shd w:val="clear" w:color="auto" w:fill="auto"/>
            <w:noWrap/>
            <w:vAlign w:val="center"/>
            <w:hideMark/>
          </w:tcPr>
          <w:p w14:paraId="3C85D21B" w14:textId="3FC2F81D"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Food Insecurity Experience Scale (FIES), raw score</w:t>
            </w:r>
          </w:p>
        </w:tc>
        <w:tc>
          <w:tcPr>
            <w:tcW w:w="1390" w:type="dxa"/>
            <w:tcBorders>
              <w:top w:val="nil"/>
              <w:left w:val="nil"/>
              <w:bottom w:val="nil"/>
              <w:right w:val="nil"/>
            </w:tcBorders>
            <w:shd w:val="clear" w:color="auto" w:fill="auto"/>
            <w:noWrap/>
            <w:vAlign w:val="center"/>
            <w:hideMark/>
          </w:tcPr>
          <w:p w14:paraId="74DA1ABD" w14:textId="35B54E45"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6.151</w:t>
            </w:r>
          </w:p>
        </w:tc>
        <w:tc>
          <w:tcPr>
            <w:tcW w:w="1390" w:type="dxa"/>
            <w:tcBorders>
              <w:top w:val="nil"/>
              <w:left w:val="nil"/>
              <w:bottom w:val="nil"/>
              <w:right w:val="nil"/>
            </w:tcBorders>
            <w:shd w:val="clear" w:color="auto" w:fill="auto"/>
            <w:noWrap/>
            <w:vAlign w:val="center"/>
            <w:hideMark/>
          </w:tcPr>
          <w:p w14:paraId="6E40C90E" w14:textId="07888FD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6.219</w:t>
            </w:r>
          </w:p>
        </w:tc>
        <w:tc>
          <w:tcPr>
            <w:tcW w:w="1390" w:type="dxa"/>
            <w:tcBorders>
              <w:top w:val="nil"/>
              <w:left w:val="nil"/>
              <w:bottom w:val="nil"/>
              <w:right w:val="nil"/>
            </w:tcBorders>
            <w:shd w:val="clear" w:color="auto" w:fill="auto"/>
            <w:noWrap/>
            <w:vAlign w:val="center"/>
            <w:hideMark/>
          </w:tcPr>
          <w:p w14:paraId="466E1CCA" w14:textId="1D02549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6.034</w:t>
            </w:r>
          </w:p>
        </w:tc>
        <w:tc>
          <w:tcPr>
            <w:tcW w:w="1476" w:type="dxa"/>
            <w:tcBorders>
              <w:top w:val="nil"/>
              <w:left w:val="nil"/>
              <w:bottom w:val="nil"/>
              <w:right w:val="nil"/>
            </w:tcBorders>
            <w:shd w:val="clear" w:color="auto" w:fill="auto"/>
            <w:noWrap/>
            <w:vAlign w:val="center"/>
            <w:hideMark/>
          </w:tcPr>
          <w:p w14:paraId="09535138" w14:textId="7D72FA0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0.919</w:t>
            </w:r>
          </w:p>
        </w:tc>
        <w:tc>
          <w:tcPr>
            <w:tcW w:w="1174" w:type="dxa"/>
            <w:tcBorders>
              <w:top w:val="nil"/>
              <w:left w:val="nil"/>
              <w:bottom w:val="nil"/>
              <w:right w:val="nil"/>
            </w:tcBorders>
            <w:shd w:val="clear" w:color="auto" w:fill="auto"/>
            <w:noWrap/>
            <w:vAlign w:val="center"/>
            <w:hideMark/>
          </w:tcPr>
          <w:p w14:paraId="5C5F9108" w14:textId="3EEE664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0.427</w:t>
            </w:r>
          </w:p>
        </w:tc>
        <w:tc>
          <w:tcPr>
            <w:tcW w:w="1174" w:type="dxa"/>
            <w:tcBorders>
              <w:top w:val="nil"/>
              <w:left w:val="nil"/>
              <w:bottom w:val="nil"/>
              <w:right w:val="nil"/>
            </w:tcBorders>
            <w:shd w:val="clear" w:color="auto" w:fill="auto"/>
            <w:noWrap/>
            <w:vAlign w:val="center"/>
            <w:hideMark/>
          </w:tcPr>
          <w:p w14:paraId="594BC8E1" w14:textId="5AD5E71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0.203</w:t>
            </w:r>
          </w:p>
        </w:tc>
      </w:tr>
      <w:tr w:rsidR="001C791B" w:rsidRPr="001C791B" w14:paraId="35C05254" w14:textId="77777777" w:rsidTr="001C791B">
        <w:trPr>
          <w:trHeight w:val="251"/>
        </w:trPr>
        <w:tc>
          <w:tcPr>
            <w:tcW w:w="5424" w:type="dxa"/>
            <w:tcBorders>
              <w:top w:val="nil"/>
              <w:left w:val="nil"/>
              <w:bottom w:val="nil"/>
              <w:right w:val="nil"/>
            </w:tcBorders>
            <w:shd w:val="clear" w:color="auto" w:fill="auto"/>
            <w:noWrap/>
            <w:vAlign w:val="center"/>
          </w:tcPr>
          <w:p w14:paraId="1F1FDDFD"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2493F333" w14:textId="2E87173E"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[0.112]</w:t>
            </w:r>
          </w:p>
        </w:tc>
        <w:tc>
          <w:tcPr>
            <w:tcW w:w="1390" w:type="dxa"/>
            <w:tcBorders>
              <w:top w:val="nil"/>
              <w:left w:val="nil"/>
              <w:bottom w:val="nil"/>
              <w:right w:val="nil"/>
            </w:tcBorders>
            <w:shd w:val="clear" w:color="auto" w:fill="auto"/>
            <w:noWrap/>
            <w:vAlign w:val="center"/>
          </w:tcPr>
          <w:p w14:paraId="5AE5BF85" w14:textId="0F9369D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[0.095]</w:t>
            </w:r>
          </w:p>
        </w:tc>
        <w:tc>
          <w:tcPr>
            <w:tcW w:w="1390" w:type="dxa"/>
            <w:tcBorders>
              <w:top w:val="nil"/>
              <w:left w:val="nil"/>
              <w:bottom w:val="nil"/>
              <w:right w:val="nil"/>
            </w:tcBorders>
            <w:shd w:val="clear" w:color="auto" w:fill="auto"/>
            <w:noWrap/>
            <w:vAlign w:val="center"/>
          </w:tcPr>
          <w:p w14:paraId="3AF142E9" w14:textId="2550E99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[0.110]</w:t>
            </w:r>
          </w:p>
        </w:tc>
        <w:tc>
          <w:tcPr>
            <w:tcW w:w="1476" w:type="dxa"/>
            <w:tcBorders>
              <w:top w:val="nil"/>
              <w:left w:val="nil"/>
              <w:bottom w:val="nil"/>
              <w:right w:val="nil"/>
            </w:tcBorders>
            <w:shd w:val="clear" w:color="auto" w:fill="auto"/>
            <w:noWrap/>
            <w:vAlign w:val="center"/>
          </w:tcPr>
          <w:p w14:paraId="54A0A635"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3215169F"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6E11A3A8"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0B52E05E" w14:textId="77777777" w:rsidTr="0058106B">
        <w:trPr>
          <w:trHeight w:val="251"/>
        </w:trPr>
        <w:tc>
          <w:tcPr>
            <w:tcW w:w="5424" w:type="dxa"/>
            <w:tcBorders>
              <w:top w:val="nil"/>
              <w:left w:val="nil"/>
              <w:bottom w:val="nil"/>
              <w:right w:val="nil"/>
            </w:tcBorders>
            <w:shd w:val="clear" w:color="auto" w:fill="auto"/>
            <w:noWrap/>
            <w:vAlign w:val="center"/>
            <w:hideMark/>
          </w:tcPr>
          <w:p w14:paraId="78E1F478" w14:textId="5B0F3386"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 xml:space="preserve">Household daily per capita consumption in </w:t>
            </w:r>
            <w:bookmarkStart w:id="58" w:name="_Hlk143693569"/>
            <w:r w:rsidRPr="0058106B">
              <w:rPr>
                <w:rFonts w:cs="Arial"/>
                <w:sz w:val="18"/>
                <w:szCs w:val="18"/>
              </w:rPr>
              <w:t>2011 PPP-USD</w:t>
            </w:r>
            <w:bookmarkEnd w:id="58"/>
          </w:p>
        </w:tc>
        <w:tc>
          <w:tcPr>
            <w:tcW w:w="1390" w:type="dxa"/>
            <w:tcBorders>
              <w:top w:val="nil"/>
              <w:left w:val="nil"/>
              <w:bottom w:val="nil"/>
              <w:right w:val="nil"/>
            </w:tcBorders>
            <w:shd w:val="clear" w:color="auto" w:fill="auto"/>
            <w:noWrap/>
            <w:vAlign w:val="center"/>
            <w:hideMark/>
          </w:tcPr>
          <w:p w14:paraId="0F6C99E1" w14:textId="7138712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1.767</w:t>
            </w:r>
          </w:p>
        </w:tc>
        <w:tc>
          <w:tcPr>
            <w:tcW w:w="1390" w:type="dxa"/>
            <w:tcBorders>
              <w:top w:val="nil"/>
              <w:left w:val="nil"/>
              <w:bottom w:val="nil"/>
              <w:right w:val="nil"/>
            </w:tcBorders>
            <w:shd w:val="clear" w:color="auto" w:fill="auto"/>
            <w:noWrap/>
            <w:vAlign w:val="center"/>
            <w:hideMark/>
          </w:tcPr>
          <w:p w14:paraId="545810FF" w14:textId="1D5A887E"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1.766</w:t>
            </w:r>
          </w:p>
        </w:tc>
        <w:tc>
          <w:tcPr>
            <w:tcW w:w="1390" w:type="dxa"/>
            <w:tcBorders>
              <w:top w:val="nil"/>
              <w:left w:val="nil"/>
              <w:bottom w:val="nil"/>
              <w:right w:val="nil"/>
            </w:tcBorders>
            <w:shd w:val="clear" w:color="auto" w:fill="auto"/>
            <w:noWrap/>
            <w:vAlign w:val="center"/>
            <w:hideMark/>
          </w:tcPr>
          <w:p w14:paraId="5190F2AF" w14:textId="353305A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1.794</w:t>
            </w:r>
          </w:p>
        </w:tc>
        <w:tc>
          <w:tcPr>
            <w:tcW w:w="1476" w:type="dxa"/>
            <w:tcBorders>
              <w:top w:val="nil"/>
              <w:left w:val="nil"/>
              <w:bottom w:val="nil"/>
              <w:right w:val="nil"/>
            </w:tcBorders>
            <w:shd w:val="clear" w:color="auto" w:fill="auto"/>
            <w:noWrap/>
            <w:vAlign w:val="center"/>
            <w:hideMark/>
          </w:tcPr>
          <w:p w14:paraId="40BAFA91" w14:textId="016C437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0.509</w:t>
            </w:r>
          </w:p>
        </w:tc>
        <w:tc>
          <w:tcPr>
            <w:tcW w:w="1174" w:type="dxa"/>
            <w:tcBorders>
              <w:top w:val="nil"/>
              <w:left w:val="nil"/>
              <w:bottom w:val="nil"/>
              <w:right w:val="nil"/>
            </w:tcBorders>
            <w:shd w:val="clear" w:color="auto" w:fill="auto"/>
            <w:noWrap/>
            <w:vAlign w:val="center"/>
            <w:hideMark/>
          </w:tcPr>
          <w:p w14:paraId="602B6218" w14:textId="3163F7E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0.457</w:t>
            </w:r>
          </w:p>
        </w:tc>
        <w:tc>
          <w:tcPr>
            <w:tcW w:w="1174" w:type="dxa"/>
            <w:tcBorders>
              <w:top w:val="nil"/>
              <w:left w:val="nil"/>
              <w:bottom w:val="nil"/>
              <w:right w:val="nil"/>
            </w:tcBorders>
            <w:shd w:val="clear" w:color="auto" w:fill="auto"/>
            <w:noWrap/>
            <w:vAlign w:val="center"/>
            <w:hideMark/>
          </w:tcPr>
          <w:p w14:paraId="7B5F0F40" w14:textId="6329448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0.802</w:t>
            </w:r>
          </w:p>
        </w:tc>
      </w:tr>
      <w:tr w:rsidR="001C791B" w:rsidRPr="001C791B" w14:paraId="48DEE2E9" w14:textId="77777777" w:rsidTr="001C791B">
        <w:trPr>
          <w:trHeight w:val="251"/>
        </w:trPr>
        <w:tc>
          <w:tcPr>
            <w:tcW w:w="5424" w:type="dxa"/>
            <w:tcBorders>
              <w:top w:val="nil"/>
              <w:left w:val="nil"/>
              <w:bottom w:val="nil"/>
              <w:right w:val="nil"/>
            </w:tcBorders>
            <w:shd w:val="clear" w:color="auto" w:fill="auto"/>
            <w:noWrap/>
            <w:vAlign w:val="center"/>
          </w:tcPr>
          <w:p w14:paraId="4B0551F7"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262643FA" w14:textId="4407862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[0.043]</w:t>
            </w:r>
          </w:p>
        </w:tc>
        <w:tc>
          <w:tcPr>
            <w:tcW w:w="1390" w:type="dxa"/>
            <w:tcBorders>
              <w:top w:val="nil"/>
              <w:left w:val="nil"/>
              <w:bottom w:val="nil"/>
              <w:right w:val="nil"/>
            </w:tcBorders>
            <w:shd w:val="clear" w:color="auto" w:fill="auto"/>
            <w:noWrap/>
            <w:vAlign w:val="center"/>
          </w:tcPr>
          <w:p w14:paraId="250AA018" w14:textId="6FB195D9"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[0.046]</w:t>
            </w:r>
          </w:p>
        </w:tc>
        <w:tc>
          <w:tcPr>
            <w:tcW w:w="1390" w:type="dxa"/>
            <w:tcBorders>
              <w:top w:val="nil"/>
              <w:left w:val="nil"/>
              <w:bottom w:val="nil"/>
              <w:right w:val="nil"/>
            </w:tcBorders>
            <w:shd w:val="clear" w:color="auto" w:fill="auto"/>
            <w:noWrap/>
            <w:vAlign w:val="center"/>
          </w:tcPr>
          <w:p w14:paraId="23AC7D21" w14:textId="0ACE9B5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[0.055]</w:t>
            </w:r>
          </w:p>
        </w:tc>
        <w:tc>
          <w:tcPr>
            <w:tcW w:w="1476" w:type="dxa"/>
            <w:tcBorders>
              <w:top w:val="nil"/>
              <w:left w:val="nil"/>
              <w:bottom w:val="nil"/>
              <w:right w:val="nil"/>
            </w:tcBorders>
            <w:shd w:val="clear" w:color="auto" w:fill="auto"/>
            <w:noWrap/>
            <w:vAlign w:val="center"/>
          </w:tcPr>
          <w:p w14:paraId="2B492E9C"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318DE56C"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2BA73667"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10B4C823" w14:textId="77777777" w:rsidTr="0058106B">
        <w:trPr>
          <w:trHeight w:val="251"/>
        </w:trPr>
        <w:tc>
          <w:tcPr>
            <w:tcW w:w="5424" w:type="dxa"/>
            <w:tcBorders>
              <w:top w:val="nil"/>
              <w:left w:val="nil"/>
              <w:bottom w:val="nil"/>
              <w:right w:val="nil"/>
            </w:tcBorders>
            <w:shd w:val="clear" w:color="auto" w:fill="auto"/>
            <w:noWrap/>
            <w:vAlign w:val="center"/>
            <w:hideMark/>
          </w:tcPr>
          <w:p w14:paraId="79F77304" w14:textId="413814C7"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Tropical Livestock Units owned by the household</w:t>
            </w:r>
          </w:p>
        </w:tc>
        <w:tc>
          <w:tcPr>
            <w:tcW w:w="1390" w:type="dxa"/>
            <w:tcBorders>
              <w:top w:val="nil"/>
              <w:left w:val="nil"/>
              <w:bottom w:val="nil"/>
              <w:right w:val="nil"/>
            </w:tcBorders>
            <w:shd w:val="clear" w:color="auto" w:fill="auto"/>
            <w:noWrap/>
            <w:vAlign w:val="center"/>
            <w:hideMark/>
          </w:tcPr>
          <w:p w14:paraId="250459EA" w14:textId="1F81EAF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11.666</w:t>
            </w:r>
          </w:p>
        </w:tc>
        <w:tc>
          <w:tcPr>
            <w:tcW w:w="1390" w:type="dxa"/>
            <w:tcBorders>
              <w:top w:val="nil"/>
              <w:left w:val="nil"/>
              <w:bottom w:val="nil"/>
              <w:right w:val="nil"/>
            </w:tcBorders>
            <w:shd w:val="clear" w:color="auto" w:fill="auto"/>
            <w:noWrap/>
            <w:vAlign w:val="center"/>
            <w:hideMark/>
          </w:tcPr>
          <w:p w14:paraId="32FA2A6B" w14:textId="561FC2F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11.510</w:t>
            </w:r>
          </w:p>
        </w:tc>
        <w:tc>
          <w:tcPr>
            <w:tcW w:w="1390" w:type="dxa"/>
            <w:tcBorders>
              <w:top w:val="nil"/>
              <w:left w:val="nil"/>
              <w:bottom w:val="nil"/>
              <w:right w:val="nil"/>
            </w:tcBorders>
            <w:shd w:val="clear" w:color="auto" w:fill="auto"/>
            <w:noWrap/>
            <w:vAlign w:val="center"/>
            <w:hideMark/>
          </w:tcPr>
          <w:p w14:paraId="423A1E7E" w14:textId="1B86A71E"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12.238</w:t>
            </w:r>
          </w:p>
        </w:tc>
        <w:tc>
          <w:tcPr>
            <w:tcW w:w="1476" w:type="dxa"/>
            <w:tcBorders>
              <w:top w:val="nil"/>
              <w:left w:val="nil"/>
              <w:bottom w:val="nil"/>
              <w:right w:val="nil"/>
            </w:tcBorders>
            <w:shd w:val="clear" w:color="auto" w:fill="auto"/>
            <w:noWrap/>
            <w:vAlign w:val="center"/>
            <w:hideMark/>
          </w:tcPr>
          <w:p w14:paraId="4AB09686" w14:textId="17C5DE4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0.471</w:t>
            </w:r>
          </w:p>
        </w:tc>
        <w:tc>
          <w:tcPr>
            <w:tcW w:w="1174" w:type="dxa"/>
            <w:tcBorders>
              <w:top w:val="nil"/>
              <w:left w:val="nil"/>
              <w:bottom w:val="nil"/>
              <w:right w:val="nil"/>
            </w:tcBorders>
            <w:shd w:val="clear" w:color="auto" w:fill="auto"/>
            <w:noWrap/>
            <w:vAlign w:val="center"/>
            <w:hideMark/>
          </w:tcPr>
          <w:p w14:paraId="738B68D8" w14:textId="1CECFBF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0.190</w:t>
            </w:r>
          </w:p>
        </w:tc>
        <w:tc>
          <w:tcPr>
            <w:tcW w:w="1174" w:type="dxa"/>
            <w:tcBorders>
              <w:top w:val="nil"/>
              <w:left w:val="nil"/>
              <w:bottom w:val="nil"/>
              <w:right w:val="nil"/>
            </w:tcBorders>
            <w:shd w:val="clear" w:color="auto" w:fill="auto"/>
            <w:noWrap/>
            <w:vAlign w:val="center"/>
            <w:hideMark/>
          </w:tcPr>
          <w:p w14:paraId="46422253" w14:textId="4A8C33F0"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0.461</w:t>
            </w:r>
          </w:p>
        </w:tc>
      </w:tr>
      <w:tr w:rsidR="001C791B" w:rsidRPr="001C791B" w14:paraId="39C42697" w14:textId="77777777" w:rsidTr="001C791B">
        <w:trPr>
          <w:trHeight w:val="251"/>
        </w:trPr>
        <w:tc>
          <w:tcPr>
            <w:tcW w:w="5424" w:type="dxa"/>
            <w:tcBorders>
              <w:top w:val="nil"/>
              <w:left w:val="nil"/>
              <w:bottom w:val="nil"/>
              <w:right w:val="nil"/>
            </w:tcBorders>
            <w:shd w:val="clear" w:color="auto" w:fill="auto"/>
            <w:noWrap/>
            <w:vAlign w:val="center"/>
          </w:tcPr>
          <w:p w14:paraId="3D8F1BD2"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bottom w:val="nil"/>
              <w:right w:val="nil"/>
            </w:tcBorders>
            <w:shd w:val="clear" w:color="auto" w:fill="auto"/>
            <w:noWrap/>
            <w:vAlign w:val="center"/>
          </w:tcPr>
          <w:p w14:paraId="362B2A0C" w14:textId="087FB5C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[0.696]</w:t>
            </w:r>
          </w:p>
        </w:tc>
        <w:tc>
          <w:tcPr>
            <w:tcW w:w="1390" w:type="dxa"/>
            <w:tcBorders>
              <w:top w:val="nil"/>
              <w:left w:val="nil"/>
              <w:bottom w:val="nil"/>
              <w:right w:val="nil"/>
            </w:tcBorders>
            <w:shd w:val="clear" w:color="auto" w:fill="auto"/>
            <w:noWrap/>
            <w:vAlign w:val="center"/>
          </w:tcPr>
          <w:p w14:paraId="30F8D146" w14:textId="266C5FD7"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[0.714]</w:t>
            </w:r>
          </w:p>
        </w:tc>
        <w:tc>
          <w:tcPr>
            <w:tcW w:w="1390" w:type="dxa"/>
            <w:tcBorders>
              <w:top w:val="nil"/>
              <w:left w:val="nil"/>
              <w:bottom w:val="nil"/>
              <w:right w:val="nil"/>
            </w:tcBorders>
            <w:shd w:val="clear" w:color="auto" w:fill="auto"/>
            <w:noWrap/>
            <w:vAlign w:val="center"/>
          </w:tcPr>
          <w:p w14:paraId="548125C6" w14:textId="26A593D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[0.744]</w:t>
            </w:r>
          </w:p>
        </w:tc>
        <w:tc>
          <w:tcPr>
            <w:tcW w:w="1476" w:type="dxa"/>
            <w:tcBorders>
              <w:top w:val="nil"/>
              <w:left w:val="nil"/>
              <w:bottom w:val="nil"/>
              <w:right w:val="nil"/>
            </w:tcBorders>
            <w:shd w:val="clear" w:color="auto" w:fill="auto"/>
            <w:noWrap/>
            <w:vAlign w:val="center"/>
          </w:tcPr>
          <w:p w14:paraId="7992F15F"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1542BE8D"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bottom w:val="nil"/>
              <w:right w:val="nil"/>
            </w:tcBorders>
            <w:shd w:val="clear" w:color="auto" w:fill="auto"/>
            <w:noWrap/>
            <w:vAlign w:val="center"/>
          </w:tcPr>
          <w:p w14:paraId="3C94F692"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07FB0E6B" w14:textId="77777777" w:rsidTr="0058106B">
        <w:trPr>
          <w:trHeight w:val="251"/>
        </w:trPr>
        <w:tc>
          <w:tcPr>
            <w:tcW w:w="5424" w:type="dxa"/>
            <w:tcBorders>
              <w:top w:val="nil"/>
              <w:left w:val="nil"/>
              <w:bottom w:val="nil"/>
              <w:right w:val="nil"/>
            </w:tcBorders>
            <w:shd w:val="clear" w:color="auto" w:fill="auto"/>
            <w:noWrap/>
            <w:vAlign w:val="center"/>
            <w:hideMark/>
          </w:tcPr>
          <w:p w14:paraId="7FB7BBB9" w14:textId="5079C280"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Durable asset index based Principal Components Analysis (PCA)</w:t>
            </w:r>
          </w:p>
        </w:tc>
        <w:tc>
          <w:tcPr>
            <w:tcW w:w="1390" w:type="dxa"/>
            <w:tcBorders>
              <w:top w:val="nil"/>
              <w:left w:val="nil"/>
              <w:bottom w:val="nil"/>
              <w:right w:val="nil"/>
            </w:tcBorders>
            <w:shd w:val="clear" w:color="auto" w:fill="auto"/>
            <w:noWrap/>
            <w:vAlign w:val="center"/>
            <w:hideMark/>
          </w:tcPr>
          <w:p w14:paraId="46A99767" w14:textId="6A2789D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0.000</w:t>
            </w:r>
          </w:p>
        </w:tc>
        <w:tc>
          <w:tcPr>
            <w:tcW w:w="1390" w:type="dxa"/>
            <w:tcBorders>
              <w:top w:val="nil"/>
              <w:left w:val="nil"/>
              <w:bottom w:val="nil"/>
              <w:right w:val="nil"/>
            </w:tcBorders>
            <w:shd w:val="clear" w:color="auto" w:fill="auto"/>
            <w:noWrap/>
            <w:vAlign w:val="center"/>
            <w:hideMark/>
          </w:tcPr>
          <w:p w14:paraId="7322132C" w14:textId="09DF8859"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-0.079</w:t>
            </w:r>
          </w:p>
        </w:tc>
        <w:tc>
          <w:tcPr>
            <w:tcW w:w="1390" w:type="dxa"/>
            <w:tcBorders>
              <w:top w:val="nil"/>
              <w:left w:val="nil"/>
              <w:bottom w:val="nil"/>
              <w:right w:val="nil"/>
            </w:tcBorders>
            <w:shd w:val="clear" w:color="auto" w:fill="auto"/>
            <w:noWrap/>
            <w:vAlign w:val="center"/>
            <w:hideMark/>
          </w:tcPr>
          <w:p w14:paraId="7D466722" w14:textId="5F7E7B3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0.079</w:t>
            </w:r>
          </w:p>
        </w:tc>
        <w:tc>
          <w:tcPr>
            <w:tcW w:w="1476" w:type="dxa"/>
            <w:tcBorders>
              <w:top w:val="nil"/>
              <w:left w:val="nil"/>
              <w:bottom w:val="nil"/>
              <w:right w:val="nil"/>
            </w:tcBorders>
            <w:shd w:val="clear" w:color="auto" w:fill="auto"/>
            <w:noWrap/>
            <w:vAlign w:val="center"/>
            <w:hideMark/>
          </w:tcPr>
          <w:p w14:paraId="10EF6FC7" w14:textId="124B139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0.640</w:t>
            </w:r>
          </w:p>
        </w:tc>
        <w:tc>
          <w:tcPr>
            <w:tcW w:w="1174" w:type="dxa"/>
            <w:tcBorders>
              <w:top w:val="nil"/>
              <w:left w:val="nil"/>
              <w:bottom w:val="nil"/>
              <w:right w:val="nil"/>
            </w:tcBorders>
            <w:shd w:val="clear" w:color="auto" w:fill="auto"/>
            <w:noWrap/>
            <w:vAlign w:val="center"/>
            <w:hideMark/>
          </w:tcPr>
          <w:p w14:paraId="4C9FD279" w14:textId="653AD99F"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0.410</w:t>
            </w:r>
          </w:p>
        </w:tc>
        <w:tc>
          <w:tcPr>
            <w:tcW w:w="1174" w:type="dxa"/>
            <w:tcBorders>
              <w:top w:val="nil"/>
              <w:left w:val="nil"/>
              <w:bottom w:val="nil"/>
              <w:right w:val="nil"/>
            </w:tcBorders>
            <w:shd w:val="clear" w:color="auto" w:fill="auto"/>
            <w:noWrap/>
            <w:vAlign w:val="center"/>
            <w:hideMark/>
          </w:tcPr>
          <w:p w14:paraId="2A5A5A1A" w14:textId="1DBBA63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0.203</w:t>
            </w:r>
          </w:p>
        </w:tc>
      </w:tr>
      <w:tr w:rsidR="001C791B" w:rsidRPr="001C791B" w14:paraId="63DFEBEA" w14:textId="77777777" w:rsidTr="001C791B">
        <w:trPr>
          <w:trHeight w:val="251"/>
        </w:trPr>
        <w:tc>
          <w:tcPr>
            <w:tcW w:w="5424" w:type="dxa"/>
            <w:tcBorders>
              <w:top w:val="nil"/>
              <w:left w:val="nil"/>
              <w:right w:val="nil"/>
            </w:tcBorders>
            <w:shd w:val="clear" w:color="auto" w:fill="auto"/>
            <w:noWrap/>
            <w:vAlign w:val="center"/>
          </w:tcPr>
          <w:p w14:paraId="6981E8F4"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top w:val="nil"/>
              <w:left w:val="nil"/>
              <w:right w:val="nil"/>
            </w:tcBorders>
            <w:shd w:val="clear" w:color="auto" w:fill="auto"/>
            <w:noWrap/>
            <w:vAlign w:val="center"/>
          </w:tcPr>
          <w:p w14:paraId="37D2D446" w14:textId="7AD5AF8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[0.062]</w:t>
            </w:r>
          </w:p>
        </w:tc>
        <w:tc>
          <w:tcPr>
            <w:tcW w:w="1390" w:type="dxa"/>
            <w:tcBorders>
              <w:top w:val="nil"/>
              <w:left w:val="nil"/>
              <w:right w:val="nil"/>
            </w:tcBorders>
            <w:shd w:val="clear" w:color="auto" w:fill="auto"/>
            <w:noWrap/>
            <w:vAlign w:val="center"/>
          </w:tcPr>
          <w:p w14:paraId="2E265008" w14:textId="72BB2355"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[0.063]</w:t>
            </w:r>
          </w:p>
        </w:tc>
        <w:tc>
          <w:tcPr>
            <w:tcW w:w="1390" w:type="dxa"/>
            <w:tcBorders>
              <w:top w:val="nil"/>
              <w:left w:val="nil"/>
              <w:right w:val="nil"/>
            </w:tcBorders>
            <w:shd w:val="clear" w:color="auto" w:fill="auto"/>
            <w:noWrap/>
            <w:vAlign w:val="center"/>
          </w:tcPr>
          <w:p w14:paraId="0ED90B24" w14:textId="10475FB4"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[0.100]</w:t>
            </w:r>
          </w:p>
        </w:tc>
        <w:tc>
          <w:tcPr>
            <w:tcW w:w="1476" w:type="dxa"/>
            <w:tcBorders>
              <w:top w:val="nil"/>
              <w:left w:val="nil"/>
              <w:right w:val="nil"/>
            </w:tcBorders>
            <w:shd w:val="clear" w:color="auto" w:fill="auto"/>
            <w:noWrap/>
            <w:vAlign w:val="center"/>
          </w:tcPr>
          <w:p w14:paraId="378D1B73"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right w:val="nil"/>
            </w:tcBorders>
            <w:shd w:val="clear" w:color="auto" w:fill="auto"/>
            <w:noWrap/>
            <w:vAlign w:val="center"/>
          </w:tcPr>
          <w:p w14:paraId="3B62ED89" w14:textId="77777777" w:rsidR="001C791B" w:rsidRPr="0058106B" w:rsidRDefault="001C791B" w:rsidP="001C791B">
            <w:pPr>
              <w:spacing w:before="0" w:after="0" w:line="240" w:lineRule="auto"/>
              <w:jc w:val="center"/>
              <w:rPr>
                <w:rFonts w:eastAsia="Times New Roman" w:cs="Arial"/>
                <w:sz w:val="18"/>
                <w:szCs w:val="18"/>
              </w:rPr>
            </w:pPr>
          </w:p>
        </w:tc>
        <w:tc>
          <w:tcPr>
            <w:tcW w:w="1174" w:type="dxa"/>
            <w:tcBorders>
              <w:top w:val="nil"/>
              <w:left w:val="nil"/>
              <w:right w:val="nil"/>
            </w:tcBorders>
            <w:shd w:val="clear" w:color="auto" w:fill="auto"/>
            <w:noWrap/>
            <w:vAlign w:val="center"/>
          </w:tcPr>
          <w:p w14:paraId="5D3F63AE" w14:textId="77777777" w:rsidR="001C791B" w:rsidRPr="0058106B" w:rsidRDefault="001C791B" w:rsidP="001C791B">
            <w:pPr>
              <w:spacing w:before="0" w:after="0" w:line="240" w:lineRule="auto"/>
              <w:jc w:val="center"/>
              <w:rPr>
                <w:rFonts w:eastAsia="Times New Roman" w:cs="Arial"/>
                <w:sz w:val="18"/>
                <w:szCs w:val="18"/>
              </w:rPr>
            </w:pPr>
          </w:p>
        </w:tc>
      </w:tr>
      <w:tr w:rsidR="001C791B" w:rsidRPr="001C791B" w14:paraId="52762237" w14:textId="77777777" w:rsidTr="0058106B">
        <w:trPr>
          <w:trHeight w:val="251"/>
        </w:trPr>
        <w:tc>
          <w:tcPr>
            <w:tcW w:w="5424" w:type="dxa"/>
            <w:tcBorders>
              <w:top w:val="nil"/>
              <w:left w:val="nil"/>
              <w:right w:val="nil"/>
            </w:tcBorders>
            <w:shd w:val="clear" w:color="auto" w:fill="auto"/>
            <w:noWrap/>
            <w:vAlign w:val="center"/>
            <w:hideMark/>
          </w:tcPr>
          <w:p w14:paraId="2033DFB3" w14:textId="42E38230" w:rsidR="001C791B" w:rsidRPr="0058106B" w:rsidRDefault="001C791B" w:rsidP="001C791B">
            <w:pPr>
              <w:spacing w:before="0" w:after="0" w:line="240" w:lineRule="auto"/>
              <w:jc w:val="left"/>
              <w:rPr>
                <w:rFonts w:eastAsia="Times New Roman" w:cs="Arial"/>
                <w:sz w:val="18"/>
                <w:szCs w:val="18"/>
              </w:rPr>
            </w:pPr>
            <w:r w:rsidRPr="0058106B">
              <w:rPr>
                <w:rFonts w:cs="Arial"/>
                <w:sz w:val="18"/>
                <w:szCs w:val="18"/>
              </w:rPr>
              <w:t>Household reports formal savings (0/1)</w:t>
            </w:r>
          </w:p>
        </w:tc>
        <w:tc>
          <w:tcPr>
            <w:tcW w:w="1390" w:type="dxa"/>
            <w:tcBorders>
              <w:top w:val="nil"/>
              <w:left w:val="nil"/>
              <w:right w:val="nil"/>
            </w:tcBorders>
            <w:shd w:val="clear" w:color="auto" w:fill="auto"/>
            <w:noWrap/>
            <w:vAlign w:val="center"/>
            <w:hideMark/>
          </w:tcPr>
          <w:p w14:paraId="01198DA1" w14:textId="2D0643DB"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0.366</w:t>
            </w:r>
          </w:p>
        </w:tc>
        <w:tc>
          <w:tcPr>
            <w:tcW w:w="1390" w:type="dxa"/>
            <w:tcBorders>
              <w:top w:val="nil"/>
              <w:left w:val="nil"/>
              <w:right w:val="nil"/>
            </w:tcBorders>
            <w:shd w:val="clear" w:color="auto" w:fill="auto"/>
            <w:noWrap/>
            <w:vAlign w:val="center"/>
            <w:hideMark/>
          </w:tcPr>
          <w:p w14:paraId="4C5B046C" w14:textId="6465E8EC"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0.378</w:t>
            </w:r>
          </w:p>
        </w:tc>
        <w:tc>
          <w:tcPr>
            <w:tcW w:w="1390" w:type="dxa"/>
            <w:tcBorders>
              <w:top w:val="nil"/>
              <w:left w:val="nil"/>
              <w:right w:val="nil"/>
            </w:tcBorders>
            <w:shd w:val="clear" w:color="auto" w:fill="auto"/>
            <w:noWrap/>
            <w:vAlign w:val="center"/>
            <w:hideMark/>
          </w:tcPr>
          <w:p w14:paraId="5AC58025" w14:textId="34A580B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0.390</w:t>
            </w:r>
          </w:p>
        </w:tc>
        <w:tc>
          <w:tcPr>
            <w:tcW w:w="1476" w:type="dxa"/>
            <w:tcBorders>
              <w:top w:val="nil"/>
              <w:left w:val="nil"/>
              <w:right w:val="nil"/>
            </w:tcBorders>
            <w:shd w:val="clear" w:color="auto" w:fill="auto"/>
            <w:noWrap/>
            <w:vAlign w:val="center"/>
            <w:hideMark/>
          </w:tcPr>
          <w:p w14:paraId="65D1F9BC" w14:textId="4C471A22"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0.840</w:t>
            </w:r>
          </w:p>
        </w:tc>
        <w:tc>
          <w:tcPr>
            <w:tcW w:w="1174" w:type="dxa"/>
            <w:tcBorders>
              <w:top w:val="nil"/>
              <w:left w:val="nil"/>
              <w:right w:val="nil"/>
            </w:tcBorders>
            <w:shd w:val="clear" w:color="auto" w:fill="auto"/>
            <w:noWrap/>
            <w:vAlign w:val="center"/>
            <w:hideMark/>
          </w:tcPr>
          <w:p w14:paraId="43668986" w14:textId="5EC272A6"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0.585</w:t>
            </w:r>
          </w:p>
        </w:tc>
        <w:tc>
          <w:tcPr>
            <w:tcW w:w="1174" w:type="dxa"/>
            <w:tcBorders>
              <w:top w:val="nil"/>
              <w:left w:val="nil"/>
              <w:right w:val="nil"/>
            </w:tcBorders>
            <w:shd w:val="clear" w:color="auto" w:fill="auto"/>
            <w:noWrap/>
            <w:vAlign w:val="center"/>
            <w:hideMark/>
          </w:tcPr>
          <w:p w14:paraId="4FB6A68E" w14:textId="64B54483"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0.835</w:t>
            </w:r>
          </w:p>
        </w:tc>
      </w:tr>
      <w:tr w:rsidR="001C791B" w:rsidRPr="001C791B" w14:paraId="676F77A2" w14:textId="77777777" w:rsidTr="0058106B">
        <w:trPr>
          <w:trHeight w:val="251"/>
        </w:trPr>
        <w:tc>
          <w:tcPr>
            <w:tcW w:w="5424" w:type="dxa"/>
            <w:tcBorders>
              <w:left w:val="nil"/>
              <w:right w:val="nil"/>
            </w:tcBorders>
            <w:shd w:val="clear" w:color="auto" w:fill="auto"/>
            <w:noWrap/>
            <w:vAlign w:val="center"/>
          </w:tcPr>
          <w:p w14:paraId="15203C34" w14:textId="77777777" w:rsidR="001C791B" w:rsidRPr="0058106B" w:rsidRDefault="001C791B" w:rsidP="001C791B">
            <w:pPr>
              <w:spacing w:before="0" w:after="0" w:line="240" w:lineRule="auto"/>
              <w:jc w:val="left"/>
              <w:rPr>
                <w:rFonts w:eastAsia="Times New Roman" w:cs="Arial"/>
                <w:sz w:val="18"/>
                <w:szCs w:val="18"/>
              </w:rPr>
            </w:pPr>
          </w:p>
        </w:tc>
        <w:tc>
          <w:tcPr>
            <w:tcW w:w="1390" w:type="dxa"/>
            <w:tcBorders>
              <w:left w:val="nil"/>
              <w:right w:val="nil"/>
            </w:tcBorders>
            <w:shd w:val="clear" w:color="auto" w:fill="auto"/>
            <w:noWrap/>
            <w:vAlign w:val="center"/>
          </w:tcPr>
          <w:p w14:paraId="10B25F0D" w14:textId="2AB22D31"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[0.029]</w:t>
            </w:r>
          </w:p>
        </w:tc>
        <w:tc>
          <w:tcPr>
            <w:tcW w:w="1390" w:type="dxa"/>
            <w:tcBorders>
              <w:left w:val="nil"/>
              <w:right w:val="nil"/>
            </w:tcBorders>
            <w:shd w:val="clear" w:color="auto" w:fill="auto"/>
            <w:noWrap/>
            <w:vAlign w:val="center"/>
          </w:tcPr>
          <w:p w14:paraId="25F52621" w14:textId="107C6C99"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[0.031]</w:t>
            </w:r>
          </w:p>
        </w:tc>
        <w:tc>
          <w:tcPr>
            <w:tcW w:w="1390" w:type="dxa"/>
            <w:tcBorders>
              <w:left w:val="nil"/>
              <w:right w:val="nil"/>
            </w:tcBorders>
            <w:shd w:val="clear" w:color="auto" w:fill="auto"/>
            <w:noWrap/>
            <w:vAlign w:val="center"/>
          </w:tcPr>
          <w:p w14:paraId="48C48080" w14:textId="105EDB1D" w:rsidR="001C791B" w:rsidRPr="0058106B" w:rsidRDefault="001C791B" w:rsidP="001C791B">
            <w:pPr>
              <w:spacing w:before="0" w:after="0" w:line="240" w:lineRule="auto"/>
              <w:jc w:val="center"/>
              <w:rPr>
                <w:rFonts w:eastAsia="Times New Roman" w:cs="Arial"/>
                <w:sz w:val="18"/>
                <w:szCs w:val="18"/>
              </w:rPr>
            </w:pPr>
            <w:r w:rsidRPr="0058106B">
              <w:rPr>
                <w:rFonts w:cs="Arial"/>
                <w:sz w:val="18"/>
                <w:szCs w:val="18"/>
              </w:rPr>
              <w:t>[0.029]</w:t>
            </w:r>
          </w:p>
        </w:tc>
        <w:tc>
          <w:tcPr>
            <w:tcW w:w="1476" w:type="dxa"/>
            <w:tcBorders>
              <w:left w:val="nil"/>
              <w:right w:val="nil"/>
            </w:tcBorders>
            <w:shd w:val="clear" w:color="auto" w:fill="auto"/>
            <w:noWrap/>
            <w:vAlign w:val="center"/>
          </w:tcPr>
          <w:p w14:paraId="35829767" w14:textId="77777777" w:rsidR="001C791B" w:rsidRPr="0058106B" w:rsidRDefault="001C791B" w:rsidP="001C791B">
            <w:pPr>
              <w:spacing w:before="0" w:after="0" w:line="240" w:lineRule="auto"/>
              <w:jc w:val="center"/>
              <w:rPr>
                <w:rFonts w:cs="Arial"/>
                <w:sz w:val="18"/>
                <w:szCs w:val="18"/>
              </w:rPr>
            </w:pPr>
          </w:p>
        </w:tc>
        <w:tc>
          <w:tcPr>
            <w:tcW w:w="1174" w:type="dxa"/>
            <w:tcBorders>
              <w:left w:val="nil"/>
              <w:right w:val="nil"/>
            </w:tcBorders>
            <w:shd w:val="clear" w:color="auto" w:fill="auto"/>
            <w:noWrap/>
            <w:vAlign w:val="center"/>
          </w:tcPr>
          <w:p w14:paraId="6DF70948" w14:textId="77777777" w:rsidR="001C791B" w:rsidRPr="0058106B" w:rsidRDefault="001C791B" w:rsidP="001C791B">
            <w:pPr>
              <w:spacing w:before="0" w:after="0" w:line="240" w:lineRule="auto"/>
              <w:jc w:val="center"/>
              <w:rPr>
                <w:rFonts w:cs="Arial"/>
                <w:sz w:val="18"/>
                <w:szCs w:val="18"/>
              </w:rPr>
            </w:pPr>
          </w:p>
        </w:tc>
        <w:tc>
          <w:tcPr>
            <w:tcW w:w="1174" w:type="dxa"/>
            <w:tcBorders>
              <w:left w:val="nil"/>
              <w:right w:val="nil"/>
            </w:tcBorders>
            <w:shd w:val="clear" w:color="auto" w:fill="auto"/>
            <w:noWrap/>
            <w:vAlign w:val="center"/>
          </w:tcPr>
          <w:p w14:paraId="392BF835" w14:textId="77777777" w:rsidR="001C791B" w:rsidRPr="0058106B" w:rsidRDefault="001C791B" w:rsidP="001C791B">
            <w:pPr>
              <w:spacing w:before="0" w:after="0" w:line="240" w:lineRule="auto"/>
              <w:jc w:val="center"/>
              <w:rPr>
                <w:rFonts w:cs="Arial"/>
                <w:sz w:val="18"/>
                <w:szCs w:val="18"/>
              </w:rPr>
            </w:pPr>
          </w:p>
        </w:tc>
      </w:tr>
      <w:tr w:rsidR="001C791B" w:rsidRPr="001C791B" w14:paraId="18B2AB1B" w14:textId="77777777" w:rsidTr="001C791B">
        <w:trPr>
          <w:trHeight w:val="251"/>
        </w:trPr>
        <w:tc>
          <w:tcPr>
            <w:tcW w:w="5424" w:type="dxa"/>
            <w:tcBorders>
              <w:left w:val="nil"/>
              <w:right w:val="nil"/>
            </w:tcBorders>
            <w:shd w:val="clear" w:color="auto" w:fill="auto"/>
            <w:noWrap/>
            <w:vAlign w:val="center"/>
          </w:tcPr>
          <w:p w14:paraId="78A2887F" w14:textId="09E50E0E" w:rsidR="00227E07" w:rsidRPr="0058106B" w:rsidRDefault="00227E07" w:rsidP="001C791B">
            <w:pPr>
              <w:spacing w:before="0" w:after="0" w:line="240" w:lineRule="auto"/>
              <w:jc w:val="left"/>
              <w:rPr>
                <w:rFonts w:eastAsia="Times New Roman" w:cs="Arial"/>
                <w:sz w:val="18"/>
                <w:szCs w:val="18"/>
              </w:rPr>
            </w:pPr>
            <w:r w:rsidRPr="0058106B">
              <w:rPr>
                <w:rFonts w:eastAsia="Times New Roman" w:cs="Arial"/>
                <w:sz w:val="18"/>
                <w:szCs w:val="18"/>
              </w:rPr>
              <w:t>F-test for joint significance of all balance variables (p-value)</w:t>
            </w:r>
          </w:p>
        </w:tc>
        <w:tc>
          <w:tcPr>
            <w:tcW w:w="1390" w:type="dxa"/>
            <w:tcBorders>
              <w:left w:val="nil"/>
              <w:right w:val="nil"/>
            </w:tcBorders>
            <w:shd w:val="clear" w:color="auto" w:fill="auto"/>
            <w:noWrap/>
            <w:vAlign w:val="center"/>
          </w:tcPr>
          <w:p w14:paraId="0E5B6900" w14:textId="77777777" w:rsidR="00227E07" w:rsidRPr="0058106B" w:rsidRDefault="00227E07" w:rsidP="001C791B">
            <w:pPr>
              <w:spacing w:before="0" w:after="0" w:line="240" w:lineRule="auto"/>
              <w:jc w:val="center"/>
              <w:rPr>
                <w:rFonts w:eastAsia="Times New Roman" w:cs="Arial"/>
                <w:sz w:val="18"/>
                <w:szCs w:val="18"/>
              </w:rPr>
            </w:pPr>
          </w:p>
        </w:tc>
        <w:tc>
          <w:tcPr>
            <w:tcW w:w="1390" w:type="dxa"/>
            <w:tcBorders>
              <w:left w:val="nil"/>
              <w:right w:val="nil"/>
            </w:tcBorders>
            <w:shd w:val="clear" w:color="auto" w:fill="auto"/>
            <w:noWrap/>
            <w:vAlign w:val="center"/>
          </w:tcPr>
          <w:p w14:paraId="63D7D806" w14:textId="77777777" w:rsidR="00227E07" w:rsidRPr="0058106B" w:rsidRDefault="00227E07" w:rsidP="001C791B">
            <w:pPr>
              <w:spacing w:before="0" w:after="0" w:line="240" w:lineRule="auto"/>
              <w:jc w:val="center"/>
              <w:rPr>
                <w:rFonts w:eastAsia="Times New Roman" w:cs="Arial"/>
                <w:sz w:val="18"/>
                <w:szCs w:val="18"/>
              </w:rPr>
            </w:pPr>
          </w:p>
        </w:tc>
        <w:tc>
          <w:tcPr>
            <w:tcW w:w="1390" w:type="dxa"/>
            <w:tcBorders>
              <w:left w:val="nil"/>
              <w:right w:val="nil"/>
            </w:tcBorders>
            <w:shd w:val="clear" w:color="auto" w:fill="auto"/>
            <w:noWrap/>
            <w:vAlign w:val="center"/>
          </w:tcPr>
          <w:p w14:paraId="6A8752C4" w14:textId="77777777" w:rsidR="00227E07" w:rsidRPr="0058106B" w:rsidRDefault="00227E07" w:rsidP="001C791B">
            <w:pPr>
              <w:spacing w:before="0" w:after="0" w:line="240" w:lineRule="auto"/>
              <w:jc w:val="center"/>
              <w:rPr>
                <w:rFonts w:eastAsia="Times New Roman" w:cs="Arial"/>
                <w:sz w:val="18"/>
                <w:szCs w:val="18"/>
              </w:rPr>
            </w:pPr>
          </w:p>
        </w:tc>
        <w:tc>
          <w:tcPr>
            <w:tcW w:w="1476" w:type="dxa"/>
            <w:tcBorders>
              <w:left w:val="nil"/>
              <w:right w:val="nil"/>
            </w:tcBorders>
            <w:shd w:val="clear" w:color="auto" w:fill="auto"/>
            <w:noWrap/>
            <w:vAlign w:val="center"/>
          </w:tcPr>
          <w:p w14:paraId="647F1B51" w14:textId="1BBC8EF1" w:rsidR="00227E07" w:rsidRPr="0058106B" w:rsidRDefault="00227E07" w:rsidP="001C791B">
            <w:pPr>
              <w:spacing w:before="0" w:after="0" w:line="240" w:lineRule="auto"/>
              <w:jc w:val="center"/>
              <w:rPr>
                <w:rFonts w:eastAsia="Times New Roman" w:cs="Arial"/>
                <w:sz w:val="18"/>
                <w:szCs w:val="18"/>
              </w:rPr>
            </w:pPr>
            <w:r w:rsidRPr="0058106B">
              <w:rPr>
                <w:rFonts w:cs="Arial"/>
                <w:sz w:val="18"/>
                <w:szCs w:val="18"/>
              </w:rPr>
              <w:t>0.665</w:t>
            </w:r>
          </w:p>
        </w:tc>
        <w:tc>
          <w:tcPr>
            <w:tcW w:w="1174" w:type="dxa"/>
            <w:tcBorders>
              <w:left w:val="nil"/>
              <w:right w:val="nil"/>
            </w:tcBorders>
            <w:shd w:val="clear" w:color="auto" w:fill="auto"/>
            <w:noWrap/>
            <w:vAlign w:val="center"/>
          </w:tcPr>
          <w:p w14:paraId="7B47E4C3" w14:textId="2BC474AA" w:rsidR="00227E07" w:rsidRPr="0058106B" w:rsidRDefault="00227E07" w:rsidP="001C791B">
            <w:pPr>
              <w:spacing w:before="0" w:after="0" w:line="240" w:lineRule="auto"/>
              <w:jc w:val="center"/>
              <w:rPr>
                <w:rFonts w:eastAsia="Times New Roman" w:cs="Arial"/>
                <w:sz w:val="18"/>
                <w:szCs w:val="18"/>
              </w:rPr>
            </w:pPr>
            <w:r w:rsidRPr="0058106B">
              <w:rPr>
                <w:rFonts w:cs="Arial"/>
                <w:sz w:val="18"/>
                <w:szCs w:val="18"/>
              </w:rPr>
              <w:t>0.804</w:t>
            </w:r>
          </w:p>
        </w:tc>
        <w:tc>
          <w:tcPr>
            <w:tcW w:w="1174" w:type="dxa"/>
            <w:tcBorders>
              <w:left w:val="nil"/>
              <w:right w:val="nil"/>
            </w:tcBorders>
            <w:shd w:val="clear" w:color="auto" w:fill="auto"/>
            <w:noWrap/>
            <w:vAlign w:val="center"/>
          </w:tcPr>
          <w:p w14:paraId="10201417" w14:textId="2ABC71AE" w:rsidR="00227E07" w:rsidRPr="0058106B" w:rsidRDefault="00227E07" w:rsidP="001C791B">
            <w:pPr>
              <w:spacing w:before="0" w:after="0" w:line="240" w:lineRule="auto"/>
              <w:jc w:val="center"/>
              <w:rPr>
                <w:rFonts w:eastAsia="Times New Roman" w:cs="Arial"/>
                <w:sz w:val="18"/>
                <w:szCs w:val="18"/>
              </w:rPr>
            </w:pPr>
            <w:r w:rsidRPr="0058106B">
              <w:rPr>
                <w:rFonts w:cs="Arial"/>
                <w:sz w:val="18"/>
                <w:szCs w:val="18"/>
              </w:rPr>
              <w:t>0.888</w:t>
            </w:r>
          </w:p>
        </w:tc>
      </w:tr>
      <w:tr w:rsidR="001C791B" w:rsidRPr="001C791B" w14:paraId="4FB8DFB9" w14:textId="77777777" w:rsidTr="001C791B">
        <w:trPr>
          <w:trHeight w:val="251"/>
        </w:trPr>
        <w:tc>
          <w:tcPr>
            <w:tcW w:w="5424" w:type="dxa"/>
            <w:tcBorders>
              <w:left w:val="nil"/>
              <w:bottom w:val="nil"/>
              <w:right w:val="nil"/>
            </w:tcBorders>
            <w:shd w:val="clear" w:color="auto" w:fill="auto"/>
            <w:noWrap/>
            <w:vAlign w:val="center"/>
            <w:hideMark/>
          </w:tcPr>
          <w:p w14:paraId="4DDFA17C" w14:textId="77777777" w:rsidR="00227E07" w:rsidRPr="0058106B" w:rsidRDefault="00227E07" w:rsidP="001C791B">
            <w:pPr>
              <w:spacing w:before="0" w:after="0" w:line="240" w:lineRule="auto"/>
              <w:jc w:val="left"/>
              <w:rPr>
                <w:rFonts w:eastAsia="Times New Roman" w:cs="Arial"/>
                <w:sz w:val="18"/>
                <w:szCs w:val="18"/>
              </w:rPr>
            </w:pPr>
            <w:r w:rsidRPr="0058106B">
              <w:rPr>
                <w:rFonts w:eastAsia="Times New Roman" w:cs="Arial"/>
                <w:sz w:val="18"/>
                <w:szCs w:val="18"/>
              </w:rPr>
              <w:t>N</w:t>
            </w:r>
          </w:p>
        </w:tc>
        <w:tc>
          <w:tcPr>
            <w:tcW w:w="1390" w:type="dxa"/>
            <w:tcBorders>
              <w:left w:val="nil"/>
              <w:bottom w:val="nil"/>
              <w:right w:val="nil"/>
            </w:tcBorders>
            <w:shd w:val="clear" w:color="auto" w:fill="auto"/>
            <w:noWrap/>
            <w:vAlign w:val="center"/>
            <w:hideMark/>
          </w:tcPr>
          <w:p w14:paraId="1742F6E7" w14:textId="48BB97AD" w:rsidR="00227E07" w:rsidRPr="0058106B" w:rsidRDefault="00227E07" w:rsidP="001C791B">
            <w:pPr>
              <w:spacing w:before="0" w:after="0" w:line="240" w:lineRule="auto"/>
              <w:jc w:val="center"/>
              <w:rPr>
                <w:rFonts w:eastAsia="Times New Roman" w:cs="Arial"/>
                <w:sz w:val="18"/>
                <w:szCs w:val="18"/>
              </w:rPr>
            </w:pPr>
            <w:r w:rsidRPr="0058106B">
              <w:rPr>
                <w:rFonts w:eastAsia="Times New Roman" w:cs="Arial"/>
                <w:sz w:val="18"/>
                <w:szCs w:val="18"/>
              </w:rPr>
              <w:t>1,033</w:t>
            </w:r>
          </w:p>
        </w:tc>
        <w:tc>
          <w:tcPr>
            <w:tcW w:w="1390" w:type="dxa"/>
            <w:tcBorders>
              <w:left w:val="nil"/>
              <w:bottom w:val="nil"/>
              <w:right w:val="nil"/>
            </w:tcBorders>
            <w:shd w:val="clear" w:color="auto" w:fill="auto"/>
            <w:noWrap/>
            <w:vAlign w:val="center"/>
            <w:hideMark/>
          </w:tcPr>
          <w:p w14:paraId="7F06C21F" w14:textId="77777777" w:rsidR="00227E07" w:rsidRPr="0058106B" w:rsidRDefault="00227E07" w:rsidP="001C791B">
            <w:pPr>
              <w:spacing w:before="0" w:after="0" w:line="240" w:lineRule="auto"/>
              <w:jc w:val="center"/>
              <w:rPr>
                <w:rFonts w:eastAsia="Times New Roman" w:cs="Arial"/>
                <w:sz w:val="18"/>
                <w:szCs w:val="18"/>
              </w:rPr>
            </w:pPr>
            <w:r w:rsidRPr="0058106B">
              <w:rPr>
                <w:rFonts w:eastAsia="Times New Roman" w:cs="Arial"/>
                <w:sz w:val="18"/>
                <w:szCs w:val="18"/>
              </w:rPr>
              <w:t>992</w:t>
            </w:r>
          </w:p>
        </w:tc>
        <w:tc>
          <w:tcPr>
            <w:tcW w:w="1390" w:type="dxa"/>
            <w:tcBorders>
              <w:left w:val="nil"/>
              <w:bottom w:val="nil"/>
              <w:right w:val="nil"/>
            </w:tcBorders>
            <w:shd w:val="clear" w:color="auto" w:fill="auto"/>
            <w:noWrap/>
            <w:vAlign w:val="center"/>
            <w:hideMark/>
          </w:tcPr>
          <w:p w14:paraId="41522708" w14:textId="77777777" w:rsidR="00227E07" w:rsidRPr="0058106B" w:rsidRDefault="00227E07" w:rsidP="001C791B">
            <w:pPr>
              <w:spacing w:before="0" w:after="0" w:line="240" w:lineRule="auto"/>
              <w:jc w:val="center"/>
              <w:rPr>
                <w:rFonts w:eastAsia="Times New Roman" w:cs="Arial"/>
                <w:sz w:val="18"/>
                <w:szCs w:val="18"/>
              </w:rPr>
            </w:pPr>
            <w:r w:rsidRPr="0058106B">
              <w:rPr>
                <w:rFonts w:eastAsia="Times New Roman" w:cs="Arial"/>
                <w:sz w:val="18"/>
                <w:szCs w:val="18"/>
              </w:rPr>
              <w:t>990</w:t>
            </w:r>
          </w:p>
        </w:tc>
        <w:tc>
          <w:tcPr>
            <w:tcW w:w="1476" w:type="dxa"/>
            <w:tcBorders>
              <w:left w:val="nil"/>
              <w:bottom w:val="nil"/>
              <w:right w:val="nil"/>
            </w:tcBorders>
            <w:shd w:val="clear" w:color="auto" w:fill="auto"/>
            <w:noWrap/>
            <w:vAlign w:val="center"/>
            <w:hideMark/>
          </w:tcPr>
          <w:p w14:paraId="07B03CD8" w14:textId="77777777" w:rsidR="00227E07" w:rsidRPr="0058106B" w:rsidRDefault="00227E07" w:rsidP="001C791B">
            <w:pPr>
              <w:spacing w:before="0" w:after="0" w:line="240" w:lineRule="auto"/>
              <w:jc w:val="center"/>
              <w:rPr>
                <w:rFonts w:eastAsia="Times New Roman" w:cs="Arial"/>
                <w:sz w:val="18"/>
                <w:szCs w:val="18"/>
              </w:rPr>
            </w:pPr>
          </w:p>
        </w:tc>
        <w:tc>
          <w:tcPr>
            <w:tcW w:w="1174" w:type="dxa"/>
            <w:tcBorders>
              <w:left w:val="nil"/>
              <w:bottom w:val="nil"/>
              <w:right w:val="nil"/>
            </w:tcBorders>
            <w:shd w:val="clear" w:color="auto" w:fill="auto"/>
            <w:noWrap/>
            <w:vAlign w:val="center"/>
            <w:hideMark/>
          </w:tcPr>
          <w:p w14:paraId="0F1AE345" w14:textId="77777777" w:rsidR="00227E07" w:rsidRPr="0058106B" w:rsidRDefault="00227E07" w:rsidP="001C791B">
            <w:pPr>
              <w:spacing w:before="0" w:after="0" w:line="240" w:lineRule="auto"/>
              <w:jc w:val="center"/>
              <w:rPr>
                <w:rFonts w:eastAsia="Times New Roman" w:cs="Arial"/>
                <w:sz w:val="18"/>
                <w:szCs w:val="18"/>
              </w:rPr>
            </w:pPr>
          </w:p>
        </w:tc>
        <w:tc>
          <w:tcPr>
            <w:tcW w:w="1174" w:type="dxa"/>
            <w:tcBorders>
              <w:left w:val="nil"/>
              <w:bottom w:val="nil"/>
              <w:right w:val="nil"/>
            </w:tcBorders>
            <w:shd w:val="clear" w:color="auto" w:fill="auto"/>
            <w:noWrap/>
            <w:vAlign w:val="center"/>
            <w:hideMark/>
          </w:tcPr>
          <w:p w14:paraId="158D7568" w14:textId="77777777" w:rsidR="00227E07" w:rsidRPr="0058106B" w:rsidRDefault="00227E07" w:rsidP="001C791B">
            <w:pPr>
              <w:spacing w:before="0" w:after="0" w:line="240" w:lineRule="auto"/>
              <w:jc w:val="center"/>
              <w:rPr>
                <w:rFonts w:eastAsia="Times New Roman" w:cs="Arial"/>
                <w:sz w:val="18"/>
                <w:szCs w:val="18"/>
              </w:rPr>
            </w:pPr>
          </w:p>
        </w:tc>
      </w:tr>
      <w:tr w:rsidR="001C791B" w:rsidRPr="001C791B" w14:paraId="677AFA86" w14:textId="77777777" w:rsidTr="001C791B">
        <w:trPr>
          <w:trHeight w:val="251"/>
        </w:trPr>
        <w:tc>
          <w:tcPr>
            <w:tcW w:w="5424" w:type="dxa"/>
            <w:tcBorders>
              <w:top w:val="nil"/>
              <w:left w:val="nil"/>
              <w:bottom w:val="single" w:sz="12" w:space="0" w:color="auto"/>
              <w:right w:val="nil"/>
            </w:tcBorders>
            <w:shd w:val="clear" w:color="auto" w:fill="auto"/>
            <w:noWrap/>
            <w:vAlign w:val="center"/>
            <w:hideMark/>
          </w:tcPr>
          <w:p w14:paraId="026B9A8C" w14:textId="77777777" w:rsidR="00227E07" w:rsidRPr="0058106B" w:rsidRDefault="00227E07" w:rsidP="001C791B">
            <w:pPr>
              <w:spacing w:before="0" w:after="0" w:line="240" w:lineRule="auto"/>
              <w:jc w:val="left"/>
              <w:rPr>
                <w:rFonts w:eastAsia="Times New Roman" w:cs="Arial"/>
                <w:sz w:val="18"/>
                <w:szCs w:val="18"/>
              </w:rPr>
            </w:pPr>
            <w:r w:rsidRPr="0058106B">
              <w:rPr>
                <w:rFonts w:eastAsia="Times New Roman" w:cs="Arial"/>
                <w:sz w:val="18"/>
                <w:szCs w:val="18"/>
              </w:rPr>
              <w:t>Clusters</w:t>
            </w:r>
          </w:p>
        </w:tc>
        <w:tc>
          <w:tcPr>
            <w:tcW w:w="1390" w:type="dxa"/>
            <w:tcBorders>
              <w:top w:val="nil"/>
              <w:left w:val="nil"/>
              <w:bottom w:val="single" w:sz="12" w:space="0" w:color="auto"/>
              <w:right w:val="nil"/>
            </w:tcBorders>
            <w:shd w:val="clear" w:color="auto" w:fill="auto"/>
            <w:noWrap/>
            <w:vAlign w:val="center"/>
            <w:hideMark/>
          </w:tcPr>
          <w:p w14:paraId="75149445" w14:textId="77777777" w:rsidR="00227E07" w:rsidRPr="0058106B" w:rsidRDefault="00227E07" w:rsidP="001C791B">
            <w:pPr>
              <w:spacing w:before="0" w:after="0" w:line="240" w:lineRule="auto"/>
              <w:jc w:val="center"/>
              <w:rPr>
                <w:rFonts w:eastAsia="Times New Roman" w:cs="Arial"/>
                <w:sz w:val="18"/>
                <w:szCs w:val="18"/>
              </w:rPr>
            </w:pPr>
            <w:r w:rsidRPr="0058106B">
              <w:rPr>
                <w:rFonts w:eastAsia="Times New Roman" w:cs="Arial"/>
                <w:sz w:val="18"/>
                <w:szCs w:val="18"/>
              </w:rPr>
              <w:t>80</w:t>
            </w:r>
          </w:p>
        </w:tc>
        <w:tc>
          <w:tcPr>
            <w:tcW w:w="1390" w:type="dxa"/>
            <w:tcBorders>
              <w:top w:val="nil"/>
              <w:left w:val="nil"/>
              <w:bottom w:val="single" w:sz="12" w:space="0" w:color="auto"/>
              <w:right w:val="nil"/>
            </w:tcBorders>
            <w:shd w:val="clear" w:color="auto" w:fill="auto"/>
            <w:noWrap/>
            <w:vAlign w:val="center"/>
            <w:hideMark/>
          </w:tcPr>
          <w:p w14:paraId="318909BD" w14:textId="77777777" w:rsidR="00227E07" w:rsidRPr="0058106B" w:rsidRDefault="00227E07" w:rsidP="001C791B">
            <w:pPr>
              <w:spacing w:before="0" w:after="0" w:line="240" w:lineRule="auto"/>
              <w:jc w:val="center"/>
              <w:rPr>
                <w:rFonts w:eastAsia="Times New Roman" w:cs="Arial"/>
                <w:sz w:val="18"/>
                <w:szCs w:val="18"/>
              </w:rPr>
            </w:pPr>
            <w:r w:rsidRPr="0058106B">
              <w:rPr>
                <w:rFonts w:eastAsia="Times New Roman" w:cs="Arial"/>
                <w:sz w:val="18"/>
                <w:szCs w:val="18"/>
              </w:rPr>
              <w:t>77</w:t>
            </w:r>
          </w:p>
        </w:tc>
        <w:tc>
          <w:tcPr>
            <w:tcW w:w="1390" w:type="dxa"/>
            <w:tcBorders>
              <w:top w:val="nil"/>
              <w:left w:val="nil"/>
              <w:bottom w:val="single" w:sz="12" w:space="0" w:color="auto"/>
              <w:right w:val="nil"/>
            </w:tcBorders>
            <w:shd w:val="clear" w:color="auto" w:fill="auto"/>
            <w:noWrap/>
            <w:vAlign w:val="center"/>
            <w:hideMark/>
          </w:tcPr>
          <w:p w14:paraId="71476D00" w14:textId="77777777" w:rsidR="00227E07" w:rsidRPr="0058106B" w:rsidRDefault="00227E07" w:rsidP="001C791B">
            <w:pPr>
              <w:spacing w:before="0" w:after="0" w:line="240" w:lineRule="auto"/>
              <w:jc w:val="center"/>
              <w:rPr>
                <w:rFonts w:eastAsia="Times New Roman" w:cs="Arial"/>
                <w:sz w:val="18"/>
                <w:szCs w:val="18"/>
              </w:rPr>
            </w:pPr>
            <w:r w:rsidRPr="0058106B">
              <w:rPr>
                <w:rFonts w:eastAsia="Times New Roman" w:cs="Arial"/>
                <w:sz w:val="18"/>
                <w:szCs w:val="18"/>
              </w:rPr>
              <w:t>77</w:t>
            </w:r>
          </w:p>
        </w:tc>
        <w:tc>
          <w:tcPr>
            <w:tcW w:w="1476" w:type="dxa"/>
            <w:tcBorders>
              <w:top w:val="nil"/>
              <w:left w:val="nil"/>
              <w:bottom w:val="single" w:sz="12" w:space="0" w:color="auto"/>
              <w:right w:val="nil"/>
            </w:tcBorders>
            <w:shd w:val="clear" w:color="auto" w:fill="auto"/>
            <w:noWrap/>
            <w:vAlign w:val="center"/>
            <w:hideMark/>
          </w:tcPr>
          <w:p w14:paraId="5C2D94EE" w14:textId="77777777" w:rsidR="00227E07" w:rsidRPr="0058106B" w:rsidRDefault="00227E07" w:rsidP="001C791B">
            <w:pPr>
              <w:spacing w:before="0" w:after="0" w:line="240" w:lineRule="auto"/>
              <w:jc w:val="center"/>
              <w:rPr>
                <w:rFonts w:eastAsia="Times New Roman" w:cs="Arial"/>
                <w:sz w:val="18"/>
                <w:szCs w:val="18"/>
              </w:rPr>
            </w:pPr>
          </w:p>
        </w:tc>
        <w:tc>
          <w:tcPr>
            <w:tcW w:w="1174" w:type="dxa"/>
            <w:tcBorders>
              <w:top w:val="nil"/>
              <w:left w:val="nil"/>
              <w:bottom w:val="single" w:sz="12" w:space="0" w:color="auto"/>
              <w:right w:val="nil"/>
            </w:tcBorders>
            <w:shd w:val="clear" w:color="auto" w:fill="auto"/>
            <w:noWrap/>
            <w:vAlign w:val="center"/>
            <w:hideMark/>
          </w:tcPr>
          <w:p w14:paraId="5BB75915" w14:textId="77777777" w:rsidR="00227E07" w:rsidRPr="0058106B" w:rsidRDefault="00227E07" w:rsidP="001C791B">
            <w:pPr>
              <w:spacing w:before="0" w:after="0" w:line="240" w:lineRule="auto"/>
              <w:jc w:val="center"/>
              <w:rPr>
                <w:rFonts w:eastAsia="Times New Roman" w:cs="Arial"/>
                <w:sz w:val="18"/>
                <w:szCs w:val="18"/>
              </w:rPr>
            </w:pPr>
          </w:p>
        </w:tc>
        <w:tc>
          <w:tcPr>
            <w:tcW w:w="1174" w:type="dxa"/>
            <w:tcBorders>
              <w:top w:val="nil"/>
              <w:left w:val="nil"/>
              <w:bottom w:val="single" w:sz="12" w:space="0" w:color="auto"/>
              <w:right w:val="nil"/>
            </w:tcBorders>
            <w:shd w:val="clear" w:color="auto" w:fill="auto"/>
            <w:noWrap/>
            <w:vAlign w:val="center"/>
            <w:hideMark/>
          </w:tcPr>
          <w:p w14:paraId="23E166AD" w14:textId="77777777" w:rsidR="00227E07" w:rsidRPr="0058106B" w:rsidRDefault="00227E07" w:rsidP="001C791B">
            <w:pPr>
              <w:spacing w:before="0" w:after="0" w:line="240" w:lineRule="auto"/>
              <w:jc w:val="center"/>
              <w:rPr>
                <w:rFonts w:eastAsia="Times New Roman" w:cs="Arial"/>
                <w:sz w:val="18"/>
                <w:szCs w:val="18"/>
              </w:rPr>
            </w:pPr>
          </w:p>
        </w:tc>
      </w:tr>
    </w:tbl>
    <w:p w14:paraId="45983EF8" w14:textId="58A0CD96" w:rsidR="003D1C0C" w:rsidRPr="003D1C0C" w:rsidRDefault="003D1C0C" w:rsidP="0058106B">
      <w:pPr>
        <w:spacing w:line="240" w:lineRule="auto"/>
      </w:pPr>
      <w:bookmarkStart w:id="59" w:name="_Hlk143781513"/>
      <w:bookmarkEnd w:id="57"/>
      <w:r w:rsidRPr="0058106B">
        <w:rPr>
          <w:sz w:val="16"/>
          <w:szCs w:val="16"/>
        </w:rPr>
        <w:t>Notes: Estimates from the IMPEL baseline survey sample. The value displayed for t-tests are p-values.</w:t>
      </w:r>
      <w:r w:rsidR="00405584">
        <w:rPr>
          <w:sz w:val="16"/>
          <w:szCs w:val="16"/>
        </w:rPr>
        <w:t xml:space="preserve"> </w:t>
      </w:r>
      <w:r w:rsidRPr="0058106B">
        <w:rPr>
          <w:sz w:val="16"/>
          <w:szCs w:val="16"/>
        </w:rPr>
        <w:t xml:space="preserve">Standard errors </w:t>
      </w:r>
      <w:r w:rsidR="00694DF0" w:rsidRPr="0058106B">
        <w:rPr>
          <w:sz w:val="16"/>
          <w:szCs w:val="16"/>
        </w:rPr>
        <w:t xml:space="preserve">were </w:t>
      </w:r>
      <w:r w:rsidRPr="0058106B">
        <w:rPr>
          <w:sz w:val="16"/>
          <w:szCs w:val="16"/>
        </w:rPr>
        <w:t xml:space="preserve">clustered at the kebele level. Fixed effects at the woreda level </w:t>
      </w:r>
      <w:r w:rsidR="00694DF0" w:rsidRPr="0058106B">
        <w:rPr>
          <w:sz w:val="16"/>
          <w:szCs w:val="16"/>
        </w:rPr>
        <w:t xml:space="preserve">were </w:t>
      </w:r>
      <w:r w:rsidRPr="0058106B">
        <w:rPr>
          <w:sz w:val="16"/>
          <w:szCs w:val="16"/>
        </w:rPr>
        <w:t>included in all estimation regressions</w:t>
      </w:r>
      <w:r w:rsidR="00405584">
        <w:rPr>
          <w:sz w:val="16"/>
          <w:szCs w:val="16"/>
        </w:rPr>
        <w:t xml:space="preserve"> for the t-tests.</w:t>
      </w:r>
      <w:r w:rsidRPr="0058106B">
        <w:rPr>
          <w:sz w:val="16"/>
          <w:szCs w:val="16"/>
        </w:rPr>
        <w:t xml:space="preserve"> ***, **, and * indicate significance at the 1, 5, and 10 percent critical level. </w:t>
      </w:r>
      <w:r w:rsidRPr="0058106B">
        <w:rPr>
          <w:rFonts w:cstheme="minorHAnsi"/>
          <w:sz w:val="16"/>
          <w:szCs w:val="16"/>
        </w:rPr>
        <w:t>0/1 = binary indicator.</w:t>
      </w:r>
      <w:r w:rsidR="00694DF0" w:rsidRPr="0058106B">
        <w:rPr>
          <w:rFonts w:cstheme="minorHAnsi"/>
          <w:sz w:val="16"/>
          <w:szCs w:val="16"/>
        </w:rPr>
        <w:t xml:space="preserve"> Savings in rural savings and credit cooperatives (</w:t>
      </w:r>
      <w:proofErr w:type="spellStart"/>
      <w:r w:rsidR="00694DF0" w:rsidRPr="0058106B">
        <w:rPr>
          <w:rFonts w:cstheme="minorHAnsi"/>
          <w:sz w:val="16"/>
          <w:szCs w:val="16"/>
        </w:rPr>
        <w:t>RuSACCOs</w:t>
      </w:r>
      <w:proofErr w:type="spellEnd"/>
      <w:r w:rsidR="00694DF0" w:rsidRPr="0058106B">
        <w:rPr>
          <w:rFonts w:cstheme="minorHAnsi"/>
          <w:sz w:val="16"/>
          <w:szCs w:val="16"/>
        </w:rPr>
        <w:t>), Micro-Finance Institutions, Village Savings and Loan Associations (VSLA) or bank accounts were considered as formal savings.</w:t>
      </w:r>
      <w:bookmarkEnd w:id="55"/>
    </w:p>
    <w:bookmarkEnd w:id="59"/>
    <w:p w14:paraId="72AFD152" w14:textId="4CB2EE2D" w:rsidR="00A11C14" w:rsidRDefault="00A11C14">
      <w:pPr>
        <w:spacing w:before="0" w:after="160" w:line="259" w:lineRule="auto"/>
        <w:jc w:val="left"/>
        <w:rPr>
          <w:sz w:val="18"/>
          <w:szCs w:val="18"/>
        </w:rPr>
        <w:sectPr w:rsidR="00A11C14" w:rsidSect="000B69E2">
          <w:pgSz w:w="15840" w:h="12240" w:orient="landscape"/>
          <w:pgMar w:top="1440" w:right="1440" w:bottom="1440" w:left="1440" w:header="720" w:footer="720" w:gutter="0"/>
          <w:cols w:space="720"/>
          <w:docGrid w:linePitch="360"/>
        </w:sectPr>
      </w:pPr>
    </w:p>
    <w:p w14:paraId="63729C03" w14:textId="723CEAE9" w:rsidR="00334DF2" w:rsidRDefault="00334DF2" w:rsidP="00735434">
      <w:pPr>
        <w:pStyle w:val="Heading1"/>
      </w:pPr>
      <w:bookmarkStart w:id="60" w:name="_2p2csry" w:colFirst="0" w:colLast="0"/>
      <w:bookmarkStart w:id="61" w:name="_Toc519758685"/>
      <w:bookmarkStart w:id="62" w:name="_Toc126582984"/>
      <w:bookmarkEnd w:id="56"/>
      <w:bookmarkEnd w:id="60"/>
      <w:r w:rsidRPr="00A11C14">
        <w:lastRenderedPageBreak/>
        <w:t>Analysis</w:t>
      </w:r>
      <w:bookmarkEnd w:id="61"/>
      <w:bookmarkEnd w:id="62"/>
    </w:p>
    <w:p w14:paraId="088818FD" w14:textId="61FA9267" w:rsidR="00A16ACF" w:rsidRDefault="00A16ACF" w:rsidP="00A16ACF">
      <w:pPr>
        <w:tabs>
          <w:tab w:val="left" w:pos="3448"/>
        </w:tabs>
      </w:pPr>
      <w:r>
        <w:t xml:space="preserve">We </w:t>
      </w:r>
      <w:r w:rsidR="00466065">
        <w:t>will analyze the</w:t>
      </w:r>
      <w:r>
        <w:t xml:space="preserve"> primary and secondary </w:t>
      </w:r>
      <w:r w:rsidRPr="005B550A">
        <w:t>outcomes (</w:t>
      </w:r>
      <w:r w:rsidR="00D87A10">
        <w:t>summarized</w:t>
      </w:r>
      <w:r w:rsidRPr="005B550A">
        <w:t xml:space="preserve"> </w:t>
      </w:r>
      <w:r w:rsidR="005B550A" w:rsidRPr="005B550A">
        <w:t xml:space="preserve">in Tables </w:t>
      </w:r>
      <w:r w:rsidR="00BC2143">
        <w:t>2</w:t>
      </w:r>
      <w:r w:rsidR="00BC2143" w:rsidRPr="005B550A">
        <w:t xml:space="preserve"> </w:t>
      </w:r>
      <w:r w:rsidR="005B550A" w:rsidRPr="005B550A">
        <w:t xml:space="preserve">and </w:t>
      </w:r>
      <w:r w:rsidR="00BC2143">
        <w:t>3</w:t>
      </w:r>
      <w:r w:rsidR="00BC2143" w:rsidRPr="005B550A">
        <w:t xml:space="preserve"> </w:t>
      </w:r>
      <w:r w:rsidR="005B550A" w:rsidRPr="005B550A">
        <w:t>above</w:t>
      </w:r>
      <w:r w:rsidRPr="005B550A">
        <w:t xml:space="preserve">) using </w:t>
      </w:r>
      <w:r>
        <w:t xml:space="preserve">an analysis of covariance (ANCOVA) estimation </w:t>
      </w:r>
      <w:r w:rsidR="00466065">
        <w:t>strategy</w:t>
      </w:r>
      <w:r w:rsidR="00466065" w:rsidRPr="005B550A">
        <w:t xml:space="preserve"> </w:t>
      </w:r>
      <w:r w:rsidR="005B550A" w:rsidRPr="005B550A">
        <w:fldChar w:fldCharType="begin"/>
      </w:r>
      <w:r w:rsidR="003E36AC">
        <w:instrText xml:space="preserve"> ADDIN EN.CITE &lt;EndNote&gt;&lt;Cite&gt;&lt;Author&gt;McKenzie&lt;/Author&gt;&lt;Year&gt;2012&lt;/Year&gt;&lt;RecNum&gt;682&lt;/RecNum&gt;&lt;DisplayText&gt;(McKenzie, 2012)&lt;/DisplayText&gt;&lt;record&gt;&lt;rec-number&gt;682&lt;/rec-number&gt;&lt;foreign-keys&gt;&lt;key app="EN" db-id="9x0erf0zjf29fkerve3vt0te2rwzx959avzx" timestamp="0"&gt;682&lt;/key&gt;&lt;/foreign-keys&gt;&lt;ref-type name="Journal Article"&gt;17&lt;/ref-type&gt;&lt;contributors&gt;&lt;authors&gt;&lt;author&gt;McKenzie, David&lt;/author&gt;&lt;/authors&gt;&lt;/contributors&gt;&lt;titles&gt;&lt;title&gt;Beyond baseline and follow-up: The case for more T in experiments&lt;/title&gt;&lt;secondary-title&gt;Journal of Development Economics&lt;/secondary-title&gt;&lt;/titles&gt;&lt;periodical&gt;&lt;full-title&gt;Journal of Development Economics&lt;/full-title&gt;&lt;/periodical&gt;&lt;pages&gt;210-221&lt;/pages&gt;&lt;volume&gt;99&lt;/volume&gt;&lt;number&gt;2&lt;/number&gt;&lt;dates&gt;&lt;year&gt;2012&lt;/year&gt;&lt;/dates&gt;&lt;isbn&gt;0304-3878&lt;/isbn&gt;&lt;urls&gt;&lt;/urls&gt;&lt;/record&gt;&lt;/Cite&gt;&lt;/EndNote&gt;</w:instrText>
      </w:r>
      <w:r w:rsidR="005B550A" w:rsidRPr="005B550A">
        <w:fldChar w:fldCharType="separate"/>
      </w:r>
      <w:r w:rsidR="003E36AC">
        <w:rPr>
          <w:noProof/>
        </w:rPr>
        <w:t>(McKenzie, 2012)</w:t>
      </w:r>
      <w:r w:rsidR="005B550A" w:rsidRPr="005B550A">
        <w:fldChar w:fldCharType="end"/>
      </w:r>
      <w:r w:rsidRPr="005B550A">
        <w:t>.</w:t>
      </w:r>
      <w:r w:rsidR="00901EEB">
        <w:t xml:space="preserve">  The specifications estimated for any variables that have a reported baseline value can be written as follows:</w:t>
      </w:r>
    </w:p>
    <w:tbl>
      <w:tblPr>
        <w:tblStyle w:val="3"/>
        <w:tblW w:w="9356" w:type="dxa"/>
        <w:tblBorders>
          <w:top w:val="nil"/>
          <w:left w:val="nil"/>
          <w:bottom w:val="nil"/>
          <w:right w:val="nil"/>
          <w:insideH w:val="nil"/>
          <w:insideV w:val="nil"/>
        </w:tblBorders>
        <w:tblLayout w:type="fixed"/>
        <w:tblLook w:val="0400" w:firstRow="0" w:lastRow="0" w:firstColumn="0" w:lastColumn="0" w:noHBand="0" w:noVBand="1"/>
      </w:tblPr>
      <w:tblGrid>
        <w:gridCol w:w="625"/>
        <w:gridCol w:w="8010"/>
        <w:gridCol w:w="721"/>
      </w:tblGrid>
      <w:tr w:rsidR="00F60179" w:rsidRPr="00AF5A7A" w14:paraId="1E36F0BF" w14:textId="77777777" w:rsidTr="00AF5A7A">
        <w:tc>
          <w:tcPr>
            <w:tcW w:w="625" w:type="dxa"/>
          </w:tcPr>
          <w:p w14:paraId="6833504A" w14:textId="5DFC85F3" w:rsidR="00F60179" w:rsidRDefault="00F60179" w:rsidP="00AF5A7A">
            <w:pPr>
              <w:spacing w:line="240" w:lineRule="auto"/>
            </w:pPr>
            <w:r>
              <w:t>(1)</w:t>
            </w:r>
          </w:p>
        </w:tc>
        <w:tc>
          <w:tcPr>
            <w:tcW w:w="8010" w:type="dxa"/>
          </w:tcPr>
          <w:p w14:paraId="139C116F" w14:textId="745287F0" w:rsidR="00F60179" w:rsidRPr="00AF5A7A" w:rsidRDefault="00000000" w:rsidP="00AF5A7A">
            <w:pPr>
              <w:spacing w:line="240" w:lineRule="auto"/>
              <w:jc w:val="center"/>
              <w:rPr>
                <w:rFonts w:ascii="Cambria Math" w:eastAsia="Cambria Math" w:hAnsi="Cambria Math" w:cs="Cambria Math"/>
                <w:lang w:val="en-US"/>
              </w:rPr>
            </w:pP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ikd</m:t>
                  </m:r>
                  <m:r>
                    <w:rPr>
                      <w:rFonts w:ascii="Cambria Math" w:eastAsia="Cambria Math" w:hAnsi="Cambria Math" w:cs="Cambria Math"/>
                      <w:lang w:val="en-US"/>
                    </w:rPr>
                    <m:t xml:space="preserve">, </m:t>
                  </m:r>
                  <m:r>
                    <w:rPr>
                      <w:rFonts w:ascii="Cambria Math" w:eastAsia="Cambria Math" w:hAnsi="Cambria Math" w:cs="Cambria Math"/>
                    </w:rPr>
                    <m:t>t</m:t>
                  </m:r>
                  <m:r>
                    <w:rPr>
                      <w:rFonts w:ascii="Cambria Math" w:eastAsia="Cambria Math" w:hAnsi="Cambria Math" w:cs="Cambria Math"/>
                      <w:lang w:val="en-US"/>
                    </w:rPr>
                    <m:t>=1</m:t>
                  </m:r>
                </m:sub>
              </m:sSub>
              <m:r>
                <w:rPr>
                  <w:rFonts w:ascii="Cambria Math" w:eastAsia="Cambria Math" w:hAnsi="Cambria Math" w:cs="Cambria Math"/>
                  <w:lang w:val="en-US"/>
                </w:rPr>
                <m:t xml:space="preserve">=  </m:t>
              </m:r>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lang w:val="en-US"/>
                    </w:rPr>
                    <m:t>1</m:t>
                  </m:r>
                </m:sub>
              </m:sSub>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r>
                    <w:rPr>
                      <w:rFonts w:ascii="Cambria Math" w:eastAsia="Cambria Math" w:hAnsi="Cambria Math" w:cs="Cambria Math"/>
                      <w:lang w:val="en-US"/>
                    </w:rPr>
                    <m:t>2</m:t>
                  </m:r>
                </m:sup>
              </m:sSubSup>
              <m:r>
                <w:rPr>
                  <w:rFonts w:ascii="Cambria Math" w:eastAsia="Cambria Math" w:hAnsi="Cambria Math" w:cs="Cambria Math"/>
                  <w:lang w:val="en-US"/>
                </w:rPr>
                <m:t>+</m:t>
              </m:r>
              <m:sSub>
                <m:sSubPr>
                  <m:ctrlPr>
                    <w:rPr>
                      <w:rFonts w:ascii="Cambria Math" w:eastAsia="Cambria Math" w:hAnsi="Cambria Math" w:cs="Cambria Math"/>
                    </w:rPr>
                  </m:ctrlPr>
                </m:sSubPr>
                <m:e>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lang w:val="en-US"/>
                        </w:rPr>
                        <m:t>2</m:t>
                      </m:r>
                    </m:sub>
                  </m:sSub>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r>
                        <w:rPr>
                          <w:rFonts w:ascii="Cambria Math" w:eastAsia="Cambria Math" w:hAnsi="Cambria Math" w:cs="Cambria Math"/>
                          <w:lang w:val="en-US"/>
                        </w:rPr>
                        <m:t>3</m:t>
                      </m:r>
                    </m:sup>
                  </m:sSubSup>
                  <m:r>
                    <w:rPr>
                      <w:rFonts w:ascii="Cambria Math" w:eastAsia="Cambria Math" w:hAnsi="Cambria Math" w:cs="Cambria Math"/>
                      <w:lang w:val="en-US"/>
                    </w:rPr>
                    <m:t>+</m:t>
                  </m:r>
                  <m:r>
                    <w:rPr>
                      <w:rFonts w:ascii="Cambria Math" w:eastAsia="Cambria Math" w:hAnsi="Cambria Math" w:cs="Cambria Math"/>
                    </w:rPr>
                    <m:t>γY</m:t>
                  </m:r>
                </m:e>
                <m:sub>
                  <m:r>
                    <w:rPr>
                      <w:rFonts w:ascii="Cambria Math" w:eastAsia="Cambria Math" w:hAnsi="Cambria Math" w:cs="Cambria Math"/>
                    </w:rPr>
                    <m:t>ikd</m:t>
                  </m:r>
                  <m:r>
                    <w:rPr>
                      <w:rFonts w:ascii="Cambria Math" w:eastAsia="Cambria Math" w:hAnsi="Cambria Math" w:cs="Cambria Math"/>
                      <w:lang w:val="en-US"/>
                    </w:rPr>
                    <m:t xml:space="preserve">, </m:t>
                  </m:r>
                  <m:r>
                    <w:rPr>
                      <w:rFonts w:ascii="Cambria Math" w:eastAsia="Cambria Math" w:hAnsi="Cambria Math" w:cs="Cambria Math"/>
                    </w:rPr>
                    <m:t>t</m:t>
                  </m:r>
                  <m:r>
                    <w:rPr>
                      <w:rFonts w:ascii="Cambria Math" w:eastAsia="Cambria Math" w:hAnsi="Cambria Math" w:cs="Cambria Math"/>
                      <w:lang w:val="en-US"/>
                    </w:rPr>
                    <m:t>=0</m:t>
                  </m:r>
                </m:sub>
              </m:sSub>
              <m:r>
                <w:rPr>
                  <w:rFonts w:ascii="Cambria Math" w:eastAsia="Cambria Math" w:hAnsi="Cambria Math" w:cs="Cambria Math"/>
                  <w:lang w:val="en-US"/>
                </w:rPr>
                <m:t>+</m:t>
              </m:r>
              <m:sSubSup>
                <m:sSubSupPr>
                  <m:ctrlPr>
                    <w:rPr>
                      <w:rFonts w:ascii="Cambria Math" w:eastAsia="Cambria Math" w:hAnsi="Cambria Math" w:cs="Cambria Math"/>
                    </w:rPr>
                  </m:ctrlPr>
                </m:sSubSupPr>
                <m:e>
                  <m:r>
                    <w:rPr>
                      <w:rFonts w:ascii="Cambria Math" w:eastAsia="Cambria Math" w:hAnsi="Cambria Math" w:cs="Cambria Math"/>
                    </w:rPr>
                    <m:t>X</m:t>
                  </m:r>
                </m:e>
                <m:sub>
                  <m:r>
                    <w:rPr>
                      <w:rFonts w:ascii="Cambria Math" w:eastAsia="Cambria Math" w:hAnsi="Cambria Math" w:cs="Cambria Math"/>
                    </w:rPr>
                    <m:t>ikd</m:t>
                  </m:r>
                  <m:r>
                    <w:rPr>
                      <w:rFonts w:ascii="Cambria Math" w:eastAsia="Cambria Math" w:hAnsi="Cambria Math" w:cs="Cambria Math"/>
                      <w:lang w:val="en-US"/>
                    </w:rPr>
                    <m:t>,</m:t>
                  </m:r>
                  <m:r>
                    <w:rPr>
                      <w:rFonts w:ascii="Cambria Math" w:eastAsia="Cambria Math" w:hAnsi="Cambria Math" w:cs="Cambria Math"/>
                    </w:rPr>
                    <m:t>t</m:t>
                  </m:r>
                  <m:r>
                    <w:rPr>
                      <w:rFonts w:ascii="Cambria Math" w:eastAsia="Cambria Math" w:hAnsi="Cambria Math" w:cs="Cambria Math"/>
                      <w:lang w:val="en-US"/>
                    </w:rPr>
                    <m:t>=0</m:t>
                  </m:r>
                </m:sub>
                <m:sup>
                  <m:r>
                    <w:rPr>
                      <w:rFonts w:ascii="Cambria Math" w:eastAsia="Cambria Math" w:hAnsi="Cambria Math" w:cs="Cambria Math"/>
                      <w:lang w:val="en-US"/>
                    </w:rPr>
                    <m:t>'</m:t>
                  </m:r>
                </m:sup>
              </m:sSubSup>
              <m:r>
                <w:rPr>
                  <w:rFonts w:ascii="Cambria Math" w:eastAsia="Cambria Math" w:hAnsi="Cambria Math" w:cs="Cambria Math"/>
                </w:rPr>
                <m:t>ϑ</m:t>
              </m:r>
              <m:r>
                <w:rPr>
                  <w:rFonts w:ascii="Cambria Math" w:eastAsia="Cambria Math" w:hAnsi="Cambria Math" w:cs="Cambria Math"/>
                  <w:lang w:val="en-US"/>
                </w:rPr>
                <m:t xml:space="preserve">+ </m:t>
              </m:r>
              <m:sSub>
                <m:sSubPr>
                  <m:ctrlPr>
                    <w:rPr>
                      <w:rFonts w:ascii="Cambria Math" w:eastAsia="Cambria Math" w:hAnsi="Cambria Math" w:cs="Cambria Math"/>
                      <w:i/>
                    </w:rPr>
                  </m:ctrlPr>
                </m:sSubPr>
                <m:e>
                  <m:r>
                    <w:rPr>
                      <w:rFonts w:ascii="Cambria Math" w:eastAsia="Cambria Math" w:hAnsi="Cambria Math" w:cs="Cambria Math"/>
                    </w:rPr>
                    <m:t>χ</m:t>
                  </m:r>
                </m:e>
                <m:sub>
                  <m:r>
                    <w:rPr>
                      <w:rFonts w:ascii="Cambria Math" w:eastAsia="Cambria Math" w:hAnsi="Cambria Math" w:cs="Cambria Math"/>
                    </w:rPr>
                    <m:t>kd</m:t>
                  </m:r>
                </m:sub>
              </m:sSub>
              <m:r>
                <w:rPr>
                  <w:rFonts w:ascii="Cambria Math" w:eastAsia="Cambria Math" w:hAnsi="Cambria Math" w:cs="Cambria Math"/>
                  <w:lang w:val="en-US"/>
                </w:rPr>
                <m:t>+</m:t>
              </m:r>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ikd</m:t>
                  </m:r>
                </m:sub>
              </m:sSub>
            </m:oMath>
            <w:r w:rsidR="00AF5A7A" w:rsidRPr="00AF5A7A">
              <w:rPr>
                <w:rFonts w:ascii="Cambria Math" w:eastAsia="Cambria Math" w:hAnsi="Cambria Math" w:cs="Cambria Math"/>
                <w:lang w:val="en-US"/>
              </w:rPr>
              <w:t>;</w:t>
            </w:r>
            <w:r w:rsidR="00AF5A7A">
              <w:rPr>
                <w:rFonts w:ascii="Cambria Math" w:eastAsia="Cambria Math" w:hAnsi="Cambria Math" w:cs="Cambria Math"/>
                <w:lang w:val="en-US"/>
              </w:rPr>
              <w:t xml:space="preserve"> </w:t>
            </w:r>
            <w:r w:rsidR="00AF5A7A" w:rsidRPr="00AF5A7A">
              <w:rPr>
                <w:rFonts w:asciiTheme="minorHAnsi" w:eastAsia="Cambria Math" w:hAnsiTheme="minorHAnsi" w:cstheme="minorHAnsi"/>
                <w:lang w:val="en-US"/>
              </w:rPr>
              <w:t>and</w:t>
            </w:r>
          </w:p>
        </w:tc>
        <w:tc>
          <w:tcPr>
            <w:tcW w:w="721" w:type="dxa"/>
          </w:tcPr>
          <w:p w14:paraId="65558E0A" w14:textId="7383B7F6" w:rsidR="00F60179" w:rsidRPr="00AF5A7A" w:rsidRDefault="00F60179" w:rsidP="00AF5A7A">
            <w:pPr>
              <w:spacing w:line="240" w:lineRule="auto"/>
              <w:rPr>
                <w:lang w:val="en-US"/>
              </w:rPr>
            </w:pPr>
          </w:p>
        </w:tc>
      </w:tr>
      <w:tr w:rsidR="00AF5A7A" w14:paraId="517F541C" w14:textId="77777777" w:rsidTr="00F60179">
        <w:tc>
          <w:tcPr>
            <w:tcW w:w="625" w:type="dxa"/>
          </w:tcPr>
          <w:p w14:paraId="463D2E46" w14:textId="05CFAD21" w:rsidR="00AF5A7A" w:rsidRDefault="00AF5A7A" w:rsidP="00AF5A7A">
            <w:pPr>
              <w:spacing w:line="240" w:lineRule="auto"/>
            </w:pPr>
            <w:r>
              <w:t>(2)</w:t>
            </w:r>
          </w:p>
        </w:tc>
        <w:tc>
          <w:tcPr>
            <w:tcW w:w="8010" w:type="dxa"/>
          </w:tcPr>
          <w:p w14:paraId="34250B2C" w14:textId="71F92A7A" w:rsidR="00AF5A7A" w:rsidRDefault="00000000" w:rsidP="00AF5A7A">
            <w:pPr>
              <w:spacing w:line="240" w:lineRule="auto"/>
              <w:jc w:val="center"/>
              <w:rPr>
                <w:rFonts w:eastAsia="MS Mincho"/>
              </w:rPr>
            </w:pP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ikd, t=1</m:t>
                  </m:r>
                </m:sub>
              </m:sSub>
              <m:r>
                <w:rPr>
                  <w:rFonts w:ascii="Cambria Math" w:eastAsia="Cambria Math" w:hAnsi="Cambria Math" w:cs="Cambria Math"/>
                </w:rPr>
                <m:t xml:space="preserve">=  </m:t>
              </m:r>
              <m:r>
                <m:rPr>
                  <m:sty m:val="p"/>
                </m:rPr>
                <w:rPr>
                  <w:rFonts w:ascii="Cambria Math" w:eastAsia="Cambria Math" w:hAnsi="Cambria Math" w:cs="Cambria Math"/>
                </w:rPr>
                <m:t>β</m:t>
              </m:r>
              <m:sSub>
                <m:sSubPr>
                  <m:ctrlPr>
                    <w:rPr>
                      <w:rFonts w:ascii="Cambria Math" w:eastAsia="Cambria Math" w:hAnsi="Cambria Math" w:cs="Cambria Math"/>
                    </w:rPr>
                  </m:ctrlPr>
                </m:sSubPr>
                <m:e>
                  <m:r>
                    <w:rPr>
                      <w:rFonts w:ascii="Cambria Math" w:eastAsia="Cambria Math" w:hAnsi="Cambria Math" w:cs="Cambria Math"/>
                    </w:rPr>
                    <m:t>T</m:t>
                  </m:r>
                </m:e>
                <m:sub>
                  <m:r>
                    <w:rPr>
                      <w:rFonts w:ascii="Cambria Math" w:eastAsia="Cambria Math" w:hAnsi="Cambria Math" w:cs="Cambria Math"/>
                    </w:rPr>
                    <m:t>kd</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 γY</m:t>
                  </m:r>
                </m:e>
                <m:sub>
                  <m:r>
                    <w:rPr>
                      <w:rFonts w:ascii="Cambria Math" w:eastAsia="Cambria Math" w:hAnsi="Cambria Math" w:cs="Cambria Math"/>
                    </w:rPr>
                    <m:t>ikd, t=0</m:t>
                  </m:r>
                </m:sub>
              </m:sSub>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X</m:t>
                  </m:r>
                </m:e>
                <m:sub>
                  <m:r>
                    <w:rPr>
                      <w:rFonts w:ascii="Cambria Math" w:eastAsia="Cambria Math" w:hAnsi="Cambria Math" w:cs="Cambria Math"/>
                    </w:rPr>
                    <m:t>ikd,t=0</m:t>
                  </m:r>
                </m:sub>
                <m:sup>
                  <m:r>
                    <w:rPr>
                      <w:rFonts w:ascii="Cambria Math" w:eastAsia="Cambria Math" w:hAnsi="Cambria Math" w:cs="Cambria Math"/>
                    </w:rPr>
                    <m:t>'</m:t>
                  </m:r>
                </m:sup>
              </m:sSubSup>
              <m:r>
                <w:rPr>
                  <w:rFonts w:ascii="Cambria Math" w:eastAsia="Cambria Math" w:hAnsi="Cambria Math" w:cs="Cambria Math"/>
                </w:rPr>
                <m:t xml:space="preserve">ϑ+ </m:t>
              </m:r>
              <m:sSub>
                <m:sSubPr>
                  <m:ctrlPr>
                    <w:rPr>
                      <w:rFonts w:ascii="Cambria Math" w:eastAsia="Cambria Math" w:hAnsi="Cambria Math" w:cs="Cambria Math"/>
                      <w:i/>
                    </w:rPr>
                  </m:ctrlPr>
                </m:sSubPr>
                <m:e>
                  <m:r>
                    <w:rPr>
                      <w:rFonts w:ascii="Cambria Math" w:eastAsia="Cambria Math" w:hAnsi="Cambria Math" w:cs="Cambria Math"/>
                    </w:rPr>
                    <m:t>χ</m:t>
                  </m:r>
                </m:e>
                <m:sub>
                  <m:r>
                    <w:rPr>
                      <w:rFonts w:ascii="Cambria Math" w:eastAsia="Cambria Math" w:hAnsi="Cambria Math" w:cs="Cambria Math"/>
                    </w:rPr>
                    <m:t>kd</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ikd</m:t>
                  </m:r>
                </m:sub>
              </m:sSub>
            </m:oMath>
            <w:r w:rsidR="00AF5A7A">
              <w:rPr>
                <w:rFonts w:eastAsia="MS Mincho"/>
              </w:rPr>
              <w:t>,</w:t>
            </w:r>
          </w:p>
        </w:tc>
        <w:tc>
          <w:tcPr>
            <w:tcW w:w="721" w:type="dxa"/>
          </w:tcPr>
          <w:p w14:paraId="0C2A655D" w14:textId="77777777" w:rsidR="00AF5A7A" w:rsidRDefault="00AF5A7A" w:rsidP="00AF5A7A">
            <w:pPr>
              <w:spacing w:line="240" w:lineRule="auto"/>
            </w:pPr>
          </w:p>
        </w:tc>
      </w:tr>
    </w:tbl>
    <w:p w14:paraId="7ACF1F1A" w14:textId="25F04E4B" w:rsidR="00901EEB" w:rsidRDefault="00AF5A7A" w:rsidP="00A16ACF">
      <w:pPr>
        <w:tabs>
          <w:tab w:val="left" w:pos="3448"/>
        </w:tabs>
      </w:pPr>
      <w:r>
        <w:t xml:space="preserve"> </w:t>
      </w: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ikd, t=1</m:t>
            </m:r>
          </m:sub>
        </m:sSub>
      </m:oMath>
      <w:r w:rsidR="00A16ACF">
        <w:t xml:space="preserve"> captures the outcome of interest in household </w:t>
      </w:r>
      <w:r w:rsidR="00901EEB">
        <w:rPr>
          <w:i/>
        </w:rPr>
        <w:t>i</w:t>
      </w:r>
      <w:r w:rsidR="00A16ACF">
        <w:t xml:space="preserve"> residing in </w:t>
      </w:r>
      <w:r>
        <w:t xml:space="preserve">kebele (sub-district) </w:t>
      </w:r>
      <w:r w:rsidRPr="00AF5A7A">
        <w:rPr>
          <w:i/>
          <w:iCs/>
        </w:rPr>
        <w:t>k</w:t>
      </w:r>
      <w:r>
        <w:t xml:space="preserve"> and </w:t>
      </w:r>
      <w:r w:rsidR="00A16ACF">
        <w:t>woreda</w:t>
      </w:r>
      <w:r w:rsidR="00D32B82">
        <w:t xml:space="preserve"> (district)</w:t>
      </w:r>
      <w:r w:rsidR="00A16ACF">
        <w:t xml:space="preserve"> </w:t>
      </w:r>
      <w:r w:rsidR="00A16ACF" w:rsidRPr="00A16ACF">
        <w:rPr>
          <w:i/>
          <w:iCs/>
        </w:rPr>
        <w:t>d</w:t>
      </w:r>
      <w:r w:rsidR="00A16ACF">
        <w:t xml:space="preserve"> at midline/endline </w:t>
      </w:r>
      <w:r w:rsidR="00A16ACF" w:rsidRPr="00A16ACF">
        <w:rPr>
          <w:i/>
        </w:rPr>
        <w:t>t</w:t>
      </w:r>
      <w:r w:rsidR="00A16ACF">
        <w:t xml:space="preserve"> and </w:t>
      </w: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ikd, t=0</m:t>
            </m:r>
          </m:sub>
        </m:sSub>
      </m:oMath>
      <w:r w:rsidR="00A16ACF">
        <w:t xml:space="preserve"> at baseline. Variables </w:t>
      </w:r>
      <m:oMath>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r>
              <w:rPr>
                <w:rFonts w:ascii="Cambria Math" w:eastAsia="Cambria Math" w:hAnsi="Cambria Math" w:cs="Cambria Math"/>
              </w:rPr>
              <m:t>2</m:t>
            </m:r>
          </m:sup>
        </m:sSubSup>
      </m:oMath>
      <w:r w:rsidR="00A16ACF">
        <w:t xml:space="preserve"> and </w:t>
      </w:r>
      <m:oMath>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r>
              <w:rPr>
                <w:rFonts w:ascii="Cambria Math" w:eastAsia="Cambria Math" w:hAnsi="Cambria Math" w:cs="Cambria Math"/>
              </w:rPr>
              <m:t>3</m:t>
            </m:r>
          </m:sup>
        </m:sSubSup>
      </m:oMath>
      <w:r w:rsidR="00A16ACF">
        <w:t xml:space="preserve"> are time-invariant indicator variables, receiving value of 1 if the </w:t>
      </w:r>
      <w:r w:rsidR="00224B40">
        <w:t xml:space="preserve">kebele </w:t>
      </w:r>
      <w:r w:rsidR="00A16ACF">
        <w:t xml:space="preserve">is randomly </w:t>
      </w:r>
      <w:r w:rsidR="004007A0">
        <w:t xml:space="preserve">assigned to </w:t>
      </w:r>
      <w:r w:rsidR="00A16ACF">
        <w:t>T2 or T3, respectively, and zero otherwise</w:t>
      </w:r>
      <w:r w:rsidR="00243BD1">
        <w:t xml:space="preserve">; </w:t>
      </w:r>
      <m:oMath>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sSubSup>
      </m:oMath>
      <w:r w:rsidR="00243BD1">
        <w:t xml:space="preserve"> is a pooled treatment indicator</w:t>
      </w:r>
      <w:r w:rsidR="00901EEB">
        <w:t xml:space="preserve">; </w:t>
      </w:r>
      <m:oMath>
        <m:sSub>
          <m:sSubPr>
            <m:ctrlPr>
              <w:rPr>
                <w:rFonts w:ascii="Cambria Math" w:eastAsia="Cambria Math" w:hAnsi="Cambria Math" w:cs="Cambria Math"/>
                <w:i/>
              </w:rPr>
            </m:ctrlPr>
          </m:sSubPr>
          <m:e>
            <m:r>
              <w:rPr>
                <w:rFonts w:ascii="Cambria Math" w:eastAsia="Cambria Math" w:hAnsi="Cambria Math" w:cs="Cambria Math"/>
              </w:rPr>
              <m:t>χ</m:t>
            </m:r>
          </m:e>
          <m:sub>
            <m:r>
              <w:rPr>
                <w:rFonts w:ascii="Cambria Math" w:eastAsia="Cambria Math" w:hAnsi="Cambria Math" w:cs="Cambria Math"/>
              </w:rPr>
              <m:t>kd</m:t>
            </m:r>
          </m:sub>
        </m:sSub>
      </m:oMath>
      <w:r w:rsidR="00901EEB">
        <w:t xml:space="preserve"> are strata fixed effects.</w:t>
      </w:r>
      <w:r w:rsidR="00243BD1">
        <w:t xml:space="preserve"> </w:t>
      </w:r>
      <w:r w:rsidR="009853B5">
        <w:t xml:space="preserve">Both equations will be estimated </w:t>
      </w:r>
      <w:r w:rsidR="00A16ACF">
        <w:t>with and without baseline controls (</w:t>
      </w:r>
      <m:oMath>
        <m:sSubSup>
          <m:sSubSupPr>
            <m:ctrlPr>
              <w:rPr>
                <w:rFonts w:ascii="Cambria Math" w:eastAsia="Cambria Math" w:hAnsi="Cambria Math" w:cs="Cambria Math"/>
              </w:rPr>
            </m:ctrlPr>
          </m:sSubSupPr>
          <m:e>
            <m:r>
              <w:rPr>
                <w:rFonts w:ascii="Cambria Math" w:eastAsia="Cambria Math" w:hAnsi="Cambria Math" w:cs="Cambria Math"/>
              </w:rPr>
              <m:t>X</m:t>
            </m:r>
          </m:e>
          <m:sub>
            <m:r>
              <w:rPr>
                <w:rFonts w:ascii="Cambria Math" w:eastAsia="Cambria Math" w:hAnsi="Cambria Math" w:cs="Cambria Math"/>
              </w:rPr>
              <m:t>ikd,t=0</m:t>
            </m:r>
          </m:sub>
          <m:sup>
            <m:r>
              <w:rPr>
                <w:rFonts w:ascii="Cambria Math" w:eastAsia="Cambria Math" w:hAnsi="Cambria Math" w:cs="Cambria Math"/>
              </w:rPr>
              <m:t>'</m:t>
            </m:r>
          </m:sup>
        </m:sSubSup>
      </m:oMath>
      <w:r w:rsidR="00A16ACF">
        <w:t>)</w:t>
      </w:r>
      <w:r w:rsidR="00F60179">
        <w:t xml:space="preserve">, </w:t>
      </w:r>
      <w:r w:rsidR="009853B5">
        <w:t>including</w:t>
      </w:r>
      <w:r w:rsidR="00A16ACF">
        <w:t xml:space="preserve"> household size, age and education level of the primary caregiver, and age and sex of the child. </w:t>
      </w:r>
    </w:p>
    <w:p w14:paraId="498E44A9" w14:textId="3101DC8F" w:rsidR="00901EEB" w:rsidRDefault="00901EEB" w:rsidP="00901EEB">
      <w:pPr>
        <w:tabs>
          <w:tab w:val="left" w:pos="3448"/>
        </w:tabs>
      </w:pPr>
      <w:r w:rsidRPr="005B550A">
        <w:t xml:space="preserve">We will estimate </w:t>
      </w:r>
      <w:r>
        <w:t xml:space="preserve">specification (1) </w:t>
      </w:r>
      <w:r w:rsidRPr="005B550A">
        <w:t xml:space="preserve">for </w:t>
      </w:r>
      <w:r>
        <w:t xml:space="preserve">nutrition-related </w:t>
      </w:r>
      <w:r w:rsidRPr="005B550A">
        <w:t>variables</w:t>
      </w:r>
      <w:r>
        <w:t xml:space="preserve"> (assuming a baseline value is available</w:t>
      </w:r>
      <w:proofErr w:type="gramStart"/>
      <w:r>
        <w:t>), and</w:t>
      </w:r>
      <w:proofErr w:type="gramEnd"/>
      <w:r>
        <w:t xml:space="preserve"> report the p-value for the null hypothesis that the treatment effects are consistent across treatment arms, </w:t>
      </w:r>
      <w:bookmarkStart w:id="63" w:name="_Hlk143251316"/>
      <w:r>
        <w:t>β</w:t>
      </w:r>
      <w:r w:rsidRPr="00A16ACF">
        <w:rPr>
          <w:vertAlign w:val="subscript"/>
        </w:rPr>
        <w:t>1</w:t>
      </w:r>
      <w:r>
        <w:t xml:space="preserve"> = β</w:t>
      </w:r>
      <w:r w:rsidRPr="00A16ACF">
        <w:rPr>
          <w:vertAlign w:val="subscript"/>
        </w:rPr>
        <w:t>2</w:t>
      </w:r>
      <w:r>
        <w:t xml:space="preserve">.  </w:t>
      </w:r>
      <w:bookmarkEnd w:id="63"/>
      <w:r>
        <w:t>For livelihoods-related variables, we will first analyze specification (2) pooling data across the two treatment arms; as a robustness check, we will estimate specification (1) to test whether there is any differential effect of the maternal grants on livelihoods outcomes.</w:t>
      </w:r>
    </w:p>
    <w:p w14:paraId="78B6F004" w14:textId="3B913947" w:rsidR="00A16ACF" w:rsidRDefault="00A16ACF" w:rsidP="00A16ACF">
      <w:pPr>
        <w:tabs>
          <w:tab w:val="left" w:pos="3448"/>
        </w:tabs>
      </w:pPr>
      <w:r>
        <w:t>In addition, for outcomes for which baseline value is not available (e.g., anthropometric measures), equation (</w:t>
      </w:r>
      <w:r w:rsidR="004B2306">
        <w:t>1</w:t>
      </w:r>
      <w:r>
        <w:t xml:space="preserve">) will be estimated without </w:t>
      </w: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ikd, t=0</m:t>
            </m:r>
          </m:sub>
        </m:sSub>
      </m:oMath>
      <w:r>
        <w:t xml:space="preserve"> as in the following specification.</w:t>
      </w:r>
    </w:p>
    <w:tbl>
      <w:tblPr>
        <w:tblStyle w:val="3"/>
        <w:tblW w:w="9350" w:type="dxa"/>
        <w:tblBorders>
          <w:top w:val="nil"/>
          <w:left w:val="nil"/>
          <w:bottom w:val="nil"/>
          <w:right w:val="nil"/>
          <w:insideH w:val="nil"/>
          <w:insideV w:val="nil"/>
        </w:tblBorders>
        <w:tblLayout w:type="fixed"/>
        <w:tblLook w:val="0400" w:firstRow="0" w:lastRow="0" w:firstColumn="0" w:lastColumn="0" w:noHBand="0" w:noVBand="1"/>
      </w:tblPr>
      <w:tblGrid>
        <w:gridCol w:w="677"/>
        <w:gridCol w:w="8673"/>
      </w:tblGrid>
      <w:tr w:rsidR="00A16ACF" w14:paraId="7A1FD54D" w14:textId="77777777" w:rsidTr="009A65F7">
        <w:tc>
          <w:tcPr>
            <w:tcW w:w="625" w:type="dxa"/>
          </w:tcPr>
          <w:p w14:paraId="1D22C46A" w14:textId="4D746574" w:rsidR="00A16ACF" w:rsidRDefault="00A16ACF" w:rsidP="009A65F7">
            <w:pPr>
              <w:spacing w:line="240" w:lineRule="auto"/>
            </w:pPr>
            <w:r>
              <w:t>(</w:t>
            </w:r>
            <w:r w:rsidR="00931333">
              <w:t>3</w:t>
            </w:r>
            <w:r>
              <w:t>)</w:t>
            </w:r>
          </w:p>
        </w:tc>
        <w:tc>
          <w:tcPr>
            <w:tcW w:w="8010" w:type="dxa"/>
          </w:tcPr>
          <w:p w14:paraId="59D5CCD4" w14:textId="04B6E0F3" w:rsidR="00A16ACF" w:rsidRDefault="00000000" w:rsidP="009A65F7">
            <w:pPr>
              <w:jc w:val="center"/>
              <w:rPr>
                <w:rFonts w:ascii="Cambria Math" w:eastAsia="Cambria Math" w:hAnsi="Cambria Math" w:cs="Cambria Math"/>
              </w:rPr>
            </w:pPr>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ikd, t=1</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r>
                    <w:rPr>
                      <w:rFonts w:ascii="Cambria Math" w:eastAsia="Cambria Math" w:hAnsi="Cambria Math" w:cs="Cambria Math"/>
                    </w:rPr>
                    <m:t>2</m:t>
                  </m:r>
                </m:sup>
              </m:sSub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sSubSup>
                <m:sSubSupPr>
                  <m:ctrlPr>
                    <w:rPr>
                      <w:rFonts w:ascii="Cambria Math" w:eastAsia="Cambria Math" w:hAnsi="Cambria Math" w:cs="Cambria Math"/>
                    </w:rPr>
                  </m:ctrlPr>
                </m:sSubSupPr>
                <m:e>
                  <m:r>
                    <w:rPr>
                      <w:rFonts w:ascii="Cambria Math" w:eastAsia="Cambria Math" w:hAnsi="Cambria Math" w:cs="Cambria Math"/>
                    </w:rPr>
                    <m:t>T</m:t>
                  </m:r>
                </m:e>
                <m:sub>
                  <m:r>
                    <w:rPr>
                      <w:rFonts w:ascii="Cambria Math" w:eastAsia="Cambria Math" w:hAnsi="Cambria Math" w:cs="Cambria Math"/>
                    </w:rPr>
                    <m:t>kd</m:t>
                  </m:r>
                </m:sub>
                <m:sup>
                  <m:r>
                    <w:rPr>
                      <w:rFonts w:ascii="Cambria Math" w:eastAsia="Cambria Math" w:hAnsi="Cambria Math" w:cs="Cambria Math"/>
                    </w:rPr>
                    <m:t>3</m:t>
                  </m:r>
                </m:sup>
              </m:sSubSup>
              <m:r>
                <w:rPr>
                  <w:rFonts w:ascii="Cambria Math" w:eastAsia="Cambria Math" w:hAnsi="Cambria Math" w:cs="Cambria Math"/>
                </w:rPr>
                <m:t>+</m:t>
              </m:r>
              <m:sSubSup>
                <m:sSubSupPr>
                  <m:ctrlPr>
                    <w:rPr>
                      <w:rFonts w:ascii="Cambria Math" w:eastAsia="Cambria Math" w:hAnsi="Cambria Math" w:cs="Cambria Math"/>
                    </w:rPr>
                  </m:ctrlPr>
                </m:sSubSupPr>
                <m:e>
                  <m:r>
                    <w:rPr>
                      <w:rFonts w:ascii="Cambria Math" w:eastAsia="Cambria Math" w:hAnsi="Cambria Math" w:cs="Cambria Math"/>
                    </w:rPr>
                    <m:t>X</m:t>
                  </m:r>
                </m:e>
                <m:sub>
                  <m:r>
                    <w:rPr>
                      <w:rFonts w:ascii="Cambria Math" w:eastAsia="Cambria Math" w:hAnsi="Cambria Math" w:cs="Cambria Math"/>
                    </w:rPr>
                    <m:t>ikd,t=0</m:t>
                  </m:r>
                </m:sub>
                <m:sup>
                  <m:r>
                    <w:rPr>
                      <w:rFonts w:ascii="Cambria Math" w:eastAsia="Cambria Math" w:hAnsi="Cambria Math" w:cs="Cambria Math"/>
                    </w:rPr>
                    <m:t>'</m:t>
                  </m:r>
                </m:sup>
              </m:sSubSup>
              <m:r>
                <w:rPr>
                  <w:rFonts w:ascii="Cambria Math" w:eastAsia="Cambria Math" w:hAnsi="Cambria Math" w:cs="Cambria Math"/>
                </w:rPr>
                <m:t xml:space="preserve">ϑ+ </m:t>
              </m:r>
              <m:sSub>
                <m:sSubPr>
                  <m:ctrlPr>
                    <w:rPr>
                      <w:rFonts w:ascii="Cambria Math" w:eastAsia="Cambria Math" w:hAnsi="Cambria Math" w:cs="Cambria Math"/>
                      <w:i/>
                    </w:rPr>
                  </m:ctrlPr>
                </m:sSubPr>
                <m:e>
                  <m:r>
                    <w:rPr>
                      <w:rFonts w:ascii="Cambria Math" w:eastAsia="Cambria Math" w:hAnsi="Cambria Math" w:cs="Cambria Math"/>
                    </w:rPr>
                    <m:t>χ</m:t>
                  </m:r>
                </m:e>
                <m:sub>
                  <m:r>
                    <w:rPr>
                      <w:rFonts w:ascii="Cambria Math" w:eastAsia="Cambria Math" w:hAnsi="Cambria Math" w:cs="Cambria Math"/>
                    </w:rPr>
                    <m:t>kd</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ikd</m:t>
                  </m:r>
                </m:sub>
              </m:sSub>
            </m:oMath>
            <w:r w:rsidR="000F5B91">
              <w:rPr>
                <w:rFonts w:ascii="Cambria Math" w:eastAsia="Cambria Math" w:hAnsi="Cambria Math" w:cs="Cambria Math"/>
              </w:rPr>
              <w:t>.</w:t>
            </w:r>
          </w:p>
        </w:tc>
      </w:tr>
    </w:tbl>
    <w:p w14:paraId="652EF54D" w14:textId="670519A9" w:rsidR="00A16ACF" w:rsidRDefault="00A16ACF" w:rsidP="00A16ACF">
      <w:bookmarkStart w:id="64" w:name="_heading=h.1fob9te" w:colFirst="0" w:colLast="0"/>
      <w:bookmarkEnd w:id="64"/>
      <w:r>
        <w:t xml:space="preserve">In all regressions, our treatment variables are defined based on the initial treatment assignment, and not based on actual compliance. Consequently, our impact estimates capture intention-to-treat effects (ITT). </w:t>
      </w:r>
    </w:p>
    <w:p w14:paraId="74BDD3ED" w14:textId="55FE15DD" w:rsidR="00A16ACF" w:rsidRDefault="00A16ACF" w:rsidP="00A16ACF">
      <w:r>
        <w:t>All regressions will be estimated using the Ordinary Least Squares (OLS) method.</w:t>
      </w:r>
      <w:r w:rsidR="00AE259D">
        <w:t xml:space="preserve"> </w:t>
      </w:r>
      <w:r>
        <w:t xml:space="preserve">Following the recommendation by </w:t>
      </w:r>
      <w:r w:rsidR="005B550A">
        <w:fldChar w:fldCharType="begin"/>
      </w:r>
      <w:r w:rsidR="0058106B">
        <w:instrText xml:space="preserve"> ADDIN EN.CITE &lt;EndNote&gt;&lt;Cite AuthorYear="1"&gt;&lt;Author&gt;Abadie&lt;/Author&gt;&lt;Year&gt;2022&lt;/Year&gt;&lt;RecNum&gt;2083&lt;/RecNum&gt;&lt;DisplayText&gt;Abadie et al. (2022)&lt;/DisplayText&gt;&lt;record&gt;&lt;rec-number&gt;2083&lt;/rec-number&gt;&lt;foreign-keys&gt;&lt;key app="EN" db-id="9x0erf0zjf29fkerve3vt0te2rwzx959avzx" timestamp="1530712110"&gt;2083&lt;/key&gt;&lt;/foreign-keys&gt;&lt;ref-type name="Journal Article"&gt;17&lt;/ref-type&gt;&lt;contributors&gt;&lt;authors&gt;&lt;author&gt;Abadie, Alberto&lt;/author&gt;&lt;author&gt;Athey, Susan&lt;/author&gt;&lt;author&gt;Imbens, Guido W&lt;/author&gt;&lt;author&gt;Wooldridge, Jeffrey&lt;/author&gt;&lt;/authors&gt;&lt;/contributors&gt;&lt;titles&gt;&lt;title&gt;When should you adjust standard errors for clustering?&lt;/title&gt;&lt;secondary-title&gt;Quarterly Journal of Economics&lt;/secondary-title&gt;&lt;/titles&gt;&lt;periodical&gt;&lt;full-title&gt;Quarterly Journal of Economics&lt;/full-title&gt;&lt;abbr-1&gt;Quart. J. Econ.&lt;/abbr-1&gt;&lt;abbr-2&gt;Quart J Econ&lt;/abbr-2&gt;&lt;/periodical&gt;&lt;pages&gt;1–35&lt;/pages&gt;&lt;volume&gt;138&lt;/volume&gt;&lt;number&gt;1&lt;/number&gt;&lt;dates&gt;&lt;year&gt;2022&lt;/year&gt;&lt;/dates&gt;&lt;urls&gt;&lt;/urls&gt;&lt;/record&gt;&lt;/Cite&gt;&lt;/EndNote&gt;</w:instrText>
      </w:r>
      <w:r w:rsidR="005B550A">
        <w:fldChar w:fldCharType="separate"/>
      </w:r>
      <w:r w:rsidR="003E36AC">
        <w:rPr>
          <w:noProof/>
        </w:rPr>
        <w:t>Abadie et al. (2022)</w:t>
      </w:r>
      <w:r w:rsidR="005B550A">
        <w:fldChar w:fldCharType="end"/>
      </w:r>
      <w:r>
        <w:t>,</w:t>
      </w:r>
      <w:r w:rsidRPr="00C20A66">
        <w:rPr>
          <w:color w:val="FF0000"/>
        </w:rPr>
        <w:t xml:space="preserve"> </w:t>
      </w:r>
      <w:r>
        <w:t xml:space="preserve">the standard errors in our regressions will be clustered at the kebele level to account for the randomized design. The cluster-robust standard errors will be computed using Stata’s </w:t>
      </w:r>
      <w:proofErr w:type="spellStart"/>
      <w:r>
        <w:rPr>
          <w:i/>
        </w:rPr>
        <w:t>vce</w:t>
      </w:r>
      <w:proofErr w:type="spellEnd"/>
      <w:r>
        <w:rPr>
          <w:i/>
        </w:rPr>
        <w:t>(cluster)</w:t>
      </w:r>
      <w:r>
        <w:t xml:space="preserve"> command that adjusts the standard errors based </w:t>
      </w:r>
      <w:r w:rsidRPr="005B550A">
        <w:t xml:space="preserve">on the </w:t>
      </w:r>
      <w:r w:rsidR="005B550A" w:rsidRPr="005B550A">
        <w:fldChar w:fldCharType="begin"/>
      </w:r>
      <w:r w:rsidR="003E36AC">
        <w:instrText xml:space="preserve"> ADDIN EN.CITE &lt;EndNote&gt;&lt;Cite AuthorYear="1"&gt;&lt;Author&gt;Liang&lt;/Author&gt;&lt;Year&gt;1986&lt;/Year&gt;&lt;RecNum&gt;3964&lt;/RecNum&gt;&lt;DisplayText&gt;Liang and Zeger (1986)&lt;/DisplayText&gt;&lt;record&gt;&lt;rec-number&gt;3964&lt;/rec-number&gt;&lt;foreign-keys&gt;&lt;key app="EN" db-id="9x0erf0zjf29fkerve3vt0te2rwzx959avzx" timestamp="1649160977"&gt;3964&lt;/key&gt;&lt;/foreign-keys&gt;&lt;ref-type name="Journal Article"&gt;17&lt;/ref-type&gt;&lt;contributors&gt;&lt;authors&gt;&lt;author&gt;Liang, Kung-Yee&lt;/author&gt;&lt;author&gt;Zeger, Scott L&lt;/author&gt;&lt;/authors&gt;&lt;/contributors&gt;&lt;titles&gt;&lt;title&gt;Longitudinal data analysis using generalized linear models&lt;/title&gt;&lt;secondary-title&gt;Biometrika&lt;/secondary-title&gt;&lt;/titles&gt;&lt;periodical&gt;&lt;full-title&gt;Biometrika&lt;/full-title&gt;&lt;abbr-1&gt;Biometrika&lt;/abbr-1&gt;&lt;abbr-2&gt;Biometrika&lt;/abbr-2&gt;&lt;/periodical&gt;&lt;pages&gt;13-22&lt;/pages&gt;&lt;volume&gt;73&lt;/volume&gt;&lt;number&gt;1&lt;/number&gt;&lt;dates&gt;&lt;year&gt;1986&lt;/year&gt;&lt;/dates&gt;&lt;isbn&gt;0006-3444&lt;/isbn&gt;&lt;urls&gt;&lt;/urls&gt;&lt;/record&gt;&lt;/Cite&gt;&lt;/EndNote&gt;</w:instrText>
      </w:r>
      <w:r w:rsidR="005B550A" w:rsidRPr="005B550A">
        <w:fldChar w:fldCharType="separate"/>
      </w:r>
      <w:r w:rsidR="003E36AC">
        <w:rPr>
          <w:noProof/>
        </w:rPr>
        <w:t>Liang and Zeger (1986)</w:t>
      </w:r>
      <w:r w:rsidR="005B550A" w:rsidRPr="005B550A">
        <w:fldChar w:fldCharType="end"/>
      </w:r>
      <w:r w:rsidRPr="005B550A">
        <w:t xml:space="preserve"> approach. All statistical analyses will be conducted using Stata, version 17 or higher.</w:t>
      </w:r>
    </w:p>
    <w:p w14:paraId="55857153" w14:textId="588B0B7A" w:rsidR="00A16ACF" w:rsidRDefault="00A16ACF" w:rsidP="00A16ACF">
      <w:r>
        <w:t>In addition to reporting standard p-values, we will also report p-values corrected for multiple hypothesis testing</w:t>
      </w:r>
      <w:r w:rsidR="00CF0591">
        <w:t xml:space="preserve"> based on </w:t>
      </w:r>
      <w:r w:rsidR="00CF0591" w:rsidRPr="00CF0591">
        <w:t>sharpened FDR</w:t>
      </w:r>
      <w:r w:rsidR="00285330">
        <w:t xml:space="preserve"> (f</w:t>
      </w:r>
      <w:r w:rsidR="00285330" w:rsidRPr="00285330">
        <w:t>alse discovery rat</w:t>
      </w:r>
      <w:r w:rsidR="00285330">
        <w:t>e)</w:t>
      </w:r>
      <w:r w:rsidR="00CF0591" w:rsidRPr="00CF0591">
        <w:t xml:space="preserve"> q-values</w:t>
      </w:r>
      <w:r w:rsidR="00735434">
        <w:t xml:space="preserve"> </w:t>
      </w:r>
      <w:r w:rsidR="00735434">
        <w:fldChar w:fldCharType="begin"/>
      </w:r>
      <w:r w:rsidR="00735434">
        <w:instrText xml:space="preserve"> ADDIN EN.CITE &lt;EndNote&gt;&lt;Cite&gt;&lt;Author&gt;Anderson&lt;/Author&gt;&lt;Year&gt;2008&lt;/Year&gt;&lt;RecNum&gt;2446&lt;/RecNum&gt;&lt;DisplayText&gt;(Anderson, 2008)&lt;/DisplayText&gt;&lt;record&gt;&lt;rec-number&gt;2446&lt;/rec-number&gt;&lt;foreign-keys&gt;&lt;key app="EN" db-id="9x0erf0zjf29fkerve3vt0te2rwzx959avzx" timestamp="1570085952"&gt;2446&lt;/key&gt;&lt;/foreign-keys&gt;&lt;ref-type name="Journal Article"&gt;17&lt;/ref-type&gt;&lt;contributors&gt;&lt;authors&gt;&lt;author&gt;Anderson, Michael L&lt;/author&gt;&lt;/authors&gt;&lt;/contributors&gt;&lt;titles&gt;&lt;title&gt;Multiple inference and gender differences in the effects of early intervention: A reevaluation of the Abecedarian, Perry Preschool, and Early Training Projects&lt;/title&gt;&lt;secondary-title&gt;Journal of the American statistical Association&lt;/secondary-title&gt;&lt;/titles&gt;&lt;periodical&gt;&lt;full-title&gt;Journal of the American Statistical Association&lt;/full-title&gt;&lt;abbr-1&gt;J. Amer. Statistical Assoc.&lt;/abbr-1&gt;&lt;abbr-2&gt;J Amer Statistical Assoc&lt;/abbr-2&gt;&lt;/periodical&gt;&lt;pages&gt;1481-1495&lt;/pages&gt;&lt;volume&gt;103&lt;/volume&gt;&lt;number&gt;484&lt;/number&gt;&lt;dates&gt;&lt;year&gt;2008&lt;/year&gt;&lt;/dates&gt;&lt;isbn&gt;0162-1459&lt;/isbn&gt;&lt;urls&gt;&lt;/urls&gt;&lt;/record&gt;&lt;/Cite&gt;&lt;/EndNote&gt;</w:instrText>
      </w:r>
      <w:r w:rsidR="00735434">
        <w:fldChar w:fldCharType="separate"/>
      </w:r>
      <w:r w:rsidR="00735434">
        <w:rPr>
          <w:noProof/>
        </w:rPr>
        <w:t>(Anderson, 2008)</w:t>
      </w:r>
      <w:r w:rsidR="00735434">
        <w:fldChar w:fldCharType="end"/>
      </w:r>
      <w:r w:rsidR="00DE5B64">
        <w:t>.  T</w:t>
      </w:r>
      <w:r>
        <w:t xml:space="preserve">his correction will be implemented </w:t>
      </w:r>
      <w:r w:rsidR="001A75A7">
        <w:t>within the set of primary outcomes, and within the set of secondary outcomes.</w:t>
      </w:r>
    </w:p>
    <w:p w14:paraId="746E2117" w14:textId="77777777" w:rsidR="00C20A66" w:rsidRPr="00C20A66" w:rsidRDefault="00C20A66" w:rsidP="00C20A66">
      <w:pPr>
        <w:rPr>
          <w:i/>
          <w:iCs/>
        </w:rPr>
      </w:pPr>
      <w:r w:rsidRPr="00C20A66">
        <w:rPr>
          <w:i/>
          <w:iCs/>
        </w:rPr>
        <w:t xml:space="preserve">Missing data from item non-response </w:t>
      </w:r>
    </w:p>
    <w:p w14:paraId="7AE75D5F" w14:textId="0EB71F70" w:rsidR="0020545E" w:rsidRPr="00E32FE4" w:rsidRDefault="00472715" w:rsidP="0020545E">
      <w:r>
        <w:rPr>
          <w:color w:val="000000"/>
        </w:rPr>
        <w:t>T</w:t>
      </w:r>
      <w:r w:rsidR="00C20A66">
        <w:rPr>
          <w:color w:val="000000"/>
        </w:rPr>
        <w:t xml:space="preserve">here will be no imputation for missing data due to item non-response at </w:t>
      </w:r>
      <w:r w:rsidR="00DC116B">
        <w:rPr>
          <w:color w:val="000000"/>
        </w:rPr>
        <w:t xml:space="preserve">midline or </w:t>
      </w:r>
      <w:r w:rsidR="00C20A66">
        <w:rPr>
          <w:color w:val="000000"/>
        </w:rPr>
        <w:t xml:space="preserve">endline. Missing data on baseline variables will be </w:t>
      </w:r>
      <w:r w:rsidR="00AF5A7A">
        <w:rPr>
          <w:color w:val="000000"/>
        </w:rPr>
        <w:t xml:space="preserve">set to zero and </w:t>
      </w:r>
      <w:r w:rsidR="00C20A66">
        <w:rPr>
          <w:color w:val="000000"/>
        </w:rPr>
        <w:t xml:space="preserve">dummied out </w:t>
      </w:r>
      <w:r w:rsidR="00AF5A7A">
        <w:rPr>
          <w:color w:val="000000"/>
        </w:rPr>
        <w:t xml:space="preserve">in </w:t>
      </w:r>
      <w:r w:rsidR="00C20A66">
        <w:rPr>
          <w:color w:val="000000"/>
        </w:rPr>
        <w:t xml:space="preserve">the </w:t>
      </w:r>
      <w:r w:rsidR="00AF5A7A">
        <w:rPr>
          <w:color w:val="000000"/>
        </w:rPr>
        <w:t xml:space="preserve">ANCOVA </w:t>
      </w:r>
      <w:r w:rsidR="00C20A66">
        <w:rPr>
          <w:color w:val="000000"/>
        </w:rPr>
        <w:t>specifications</w:t>
      </w:r>
      <w:r w:rsidR="00DC116B">
        <w:rPr>
          <w:color w:val="000000"/>
        </w:rPr>
        <w:t xml:space="preserve"> (i.e., equations 1 and 2)</w:t>
      </w:r>
      <w:r w:rsidR="00C20A66">
        <w:rPr>
          <w:color w:val="000000"/>
        </w:rPr>
        <w:t xml:space="preserve">. </w:t>
      </w:r>
      <w:r w:rsidR="0020545E">
        <w:rPr>
          <w:color w:val="000000"/>
        </w:rPr>
        <w:t>When measuring</w:t>
      </w:r>
      <w:r w:rsidR="00F60179">
        <w:rPr>
          <w:color w:val="000000"/>
        </w:rPr>
        <w:t xml:space="preserve"> the</w:t>
      </w:r>
      <w:r w:rsidR="0020545E">
        <w:rPr>
          <w:color w:val="000000"/>
        </w:rPr>
        <w:t xml:space="preserve"> impact on anthropometric outcomes, w</w:t>
      </w:r>
      <w:r w:rsidR="0020545E">
        <w:t>e will omit</w:t>
      </w:r>
      <w:r w:rsidR="0020545E" w:rsidRPr="00E32FE4">
        <w:t xml:space="preserve"> children with biologically </w:t>
      </w:r>
      <w:r w:rsidR="00AE259D">
        <w:t>implausible values:</w:t>
      </w:r>
      <w:r w:rsidR="0020545E">
        <w:t xml:space="preserve"> </w:t>
      </w:r>
      <w:r w:rsidR="0020545E" w:rsidRPr="00E32FE4">
        <w:t xml:space="preserve">those below -6.0 and above 6.0 for </w:t>
      </w:r>
      <w:r w:rsidR="0020545E">
        <w:t>HAZ</w:t>
      </w:r>
      <w:r w:rsidR="0020545E" w:rsidRPr="00E32FE4">
        <w:t xml:space="preserve"> and those below -5.0 and above 5.0 for </w:t>
      </w:r>
      <w:r w:rsidR="0020545E">
        <w:t>WHZ</w:t>
      </w:r>
      <w:r w:rsidR="0020545E" w:rsidRPr="00E32FE4">
        <w:t xml:space="preserve">. </w:t>
      </w:r>
      <w:r w:rsidR="0020545E">
        <w:t xml:space="preserve"> </w:t>
      </w:r>
      <w:r w:rsidR="0020545E" w:rsidRPr="00E32FE4">
        <w:t xml:space="preserve"> </w:t>
      </w:r>
    </w:p>
    <w:p w14:paraId="1B204A77" w14:textId="77777777" w:rsidR="00C31BA9" w:rsidRDefault="00C31BA9">
      <w:pPr>
        <w:spacing w:before="0" w:after="160" w:line="259" w:lineRule="auto"/>
        <w:jc w:val="left"/>
        <w:rPr>
          <w:i/>
          <w:color w:val="000000"/>
        </w:rPr>
      </w:pPr>
      <w:r>
        <w:rPr>
          <w:i/>
          <w:color w:val="000000"/>
        </w:rPr>
        <w:br w:type="page"/>
      </w:r>
    </w:p>
    <w:p w14:paraId="36F108BD" w14:textId="6D10086E" w:rsidR="00C20A66" w:rsidRDefault="00C20A66" w:rsidP="00C20A66">
      <w:pPr>
        <w:tabs>
          <w:tab w:val="left" w:pos="3448"/>
        </w:tabs>
        <w:rPr>
          <w:i/>
          <w:color w:val="000000"/>
        </w:rPr>
      </w:pPr>
      <w:r>
        <w:rPr>
          <w:i/>
          <w:color w:val="000000"/>
        </w:rPr>
        <w:lastRenderedPageBreak/>
        <w:t>Heterogeneous effects</w:t>
      </w:r>
    </w:p>
    <w:p w14:paraId="57E8FBD9" w14:textId="357124B7" w:rsidR="00C20A66" w:rsidRDefault="00C20A66" w:rsidP="00C20A66">
      <w:pPr>
        <w:tabs>
          <w:tab w:val="left" w:pos="3448"/>
        </w:tabs>
        <w:rPr>
          <w:color w:val="000000"/>
        </w:rPr>
      </w:pPr>
      <w:r>
        <w:rPr>
          <w:color w:val="000000"/>
        </w:rPr>
        <w:t>In addition to the analysis of pooled treatment effects, we will report heterogeneous treatment effects along certain pre-specified dimensions.</w:t>
      </w:r>
      <w:r w:rsidR="00DC116B">
        <w:rPr>
          <w:rStyle w:val="FootnoteReference"/>
          <w:color w:val="000000"/>
        </w:rPr>
        <w:footnoteReference w:id="22"/>
      </w:r>
      <w:r w:rsidR="00AE259D">
        <w:rPr>
          <w:color w:val="000000"/>
        </w:rPr>
        <w:t xml:space="preserve"> </w:t>
      </w:r>
      <w:r>
        <w:rPr>
          <w:color w:val="000000"/>
        </w:rPr>
        <w:t>Th</w:t>
      </w:r>
      <w:r w:rsidR="00DC116B">
        <w:rPr>
          <w:color w:val="000000"/>
        </w:rPr>
        <w:t>ese</w:t>
      </w:r>
      <w:r>
        <w:rPr>
          <w:color w:val="000000"/>
        </w:rPr>
        <w:t xml:space="preserve"> analys</w:t>
      </w:r>
      <w:r w:rsidR="00DC116B">
        <w:rPr>
          <w:color w:val="000000"/>
        </w:rPr>
        <w:t>e</w:t>
      </w:r>
      <w:r>
        <w:rPr>
          <w:color w:val="000000"/>
        </w:rPr>
        <w:t xml:space="preserve">s should </w:t>
      </w:r>
      <w:proofErr w:type="gramStart"/>
      <w:r>
        <w:rPr>
          <w:color w:val="000000"/>
        </w:rPr>
        <w:t>be considered to be</w:t>
      </w:r>
      <w:proofErr w:type="gramEnd"/>
      <w:r>
        <w:rPr>
          <w:color w:val="000000"/>
        </w:rPr>
        <w:t xml:space="preserve"> exploratory.</w:t>
      </w:r>
    </w:p>
    <w:p w14:paraId="02FA0F5A" w14:textId="2CBAD3B3" w:rsidR="00C20A66" w:rsidRPr="00F60179" w:rsidRDefault="00C20A66" w:rsidP="001468BA">
      <w:pPr>
        <w:tabs>
          <w:tab w:val="left" w:pos="3448"/>
        </w:tabs>
        <w:rPr>
          <w:color w:val="000000"/>
          <w:szCs w:val="20"/>
        </w:rPr>
      </w:pPr>
      <w:r w:rsidRPr="00F60179">
        <w:rPr>
          <w:color w:val="000000"/>
          <w:szCs w:val="20"/>
        </w:rPr>
        <w:t xml:space="preserve">The </w:t>
      </w:r>
      <w:r w:rsidR="001468BA" w:rsidRPr="00F60179">
        <w:rPr>
          <w:color w:val="000000"/>
          <w:szCs w:val="20"/>
        </w:rPr>
        <w:t>primary</w:t>
      </w:r>
      <w:r w:rsidRPr="00F60179">
        <w:rPr>
          <w:color w:val="000000"/>
          <w:szCs w:val="20"/>
        </w:rPr>
        <w:t xml:space="preserve"> dimension of heterogeneity that will be assessed is </w:t>
      </w:r>
      <w:sdt>
        <w:sdtPr>
          <w:rPr>
            <w:szCs w:val="20"/>
          </w:rPr>
          <w:tag w:val="goog_rdk_54"/>
          <w:id w:val="-2043897861"/>
        </w:sdtPr>
        <w:sdtContent/>
      </w:sdt>
      <w:r w:rsidRPr="00F60179">
        <w:rPr>
          <w:color w:val="000000"/>
          <w:szCs w:val="20"/>
        </w:rPr>
        <w:t xml:space="preserve">baseline male (paternal) knowledge around and engagement in infant feeding practices. Our hypothesis is that households in which men are more knowledgeable about infant feeding practices at baseline, or more engaged in feeding and caretaking activities, </w:t>
      </w:r>
      <w:sdt>
        <w:sdtPr>
          <w:rPr>
            <w:szCs w:val="20"/>
          </w:rPr>
          <w:tag w:val="goog_rdk_55"/>
          <w:id w:val="1553503307"/>
        </w:sdtPr>
        <w:sdtContent/>
      </w:sdt>
      <w:r w:rsidRPr="00F60179">
        <w:rPr>
          <w:color w:val="000000"/>
          <w:szCs w:val="20"/>
        </w:rPr>
        <w:t>may be more responsive to the interventions and show larger shifts in behavior and outcomes than households in which men show a low baseline level of knowledge and engagement.</w:t>
      </w:r>
      <w:r w:rsidR="002707E7" w:rsidRPr="00F60179">
        <w:rPr>
          <w:color w:val="000000"/>
          <w:szCs w:val="20"/>
        </w:rPr>
        <w:t xml:space="preserve">  One recent study found that the effects of targeting fathers for nutrition-related behavioral change communication as well as mothers did not lead to any differentially larger shifts in child feeding outcomes</w:t>
      </w:r>
      <w:r w:rsidR="00F60179" w:rsidRPr="00F60179">
        <w:rPr>
          <w:color w:val="000000"/>
          <w:szCs w:val="20"/>
        </w:rPr>
        <w:t xml:space="preserve"> </w:t>
      </w:r>
      <w:r w:rsidR="00F60179" w:rsidRPr="00F60179">
        <w:rPr>
          <w:color w:val="000000"/>
          <w:szCs w:val="20"/>
        </w:rPr>
        <w:fldChar w:fldCharType="begin"/>
      </w:r>
      <w:r w:rsidR="00F60179" w:rsidRPr="00F60179">
        <w:rPr>
          <w:color w:val="000000"/>
          <w:szCs w:val="20"/>
        </w:rPr>
        <w:instrText xml:space="preserve"> ADDIN EN.CITE &lt;EndNote&gt;&lt;Cite&gt;&lt;Author&gt;Han&lt;/Author&gt;&lt;Year&gt;2022&lt;/Year&gt;&lt;RecNum&gt;4117&lt;/RecNum&gt;&lt;DisplayText&gt;(Han et al., 2022)&lt;/DisplayText&gt;&lt;record&gt;&lt;rec-number&gt;4117&lt;/rec-number&gt;&lt;foreign-keys&gt;&lt;key app="EN" db-id="9x0erf0zjf29fkerve3vt0te2rwzx959avzx" timestamp="1675708435"&gt;4117&lt;/key&gt;&lt;/foreign-keys&gt;&lt;ref-type name="Journal Article"&gt;17&lt;/ref-type&gt;&lt;contributors&gt;&lt;authors&gt;&lt;author&gt;Han, Yaeeun&lt;/author&gt;&lt;author&gt;Park, Seollee&lt;/author&gt;&lt;author&gt;Kim, JiEun&lt;/author&gt;&lt;author&gt;Hoddinott, John&lt;/author&gt;&lt;/authors&gt;&lt;/contributors&gt;&lt;titles&gt;&lt;title&gt;Engaging fathers through nutrition behavior communication change does not increase child dietary diversity in a cluster randomized control trial in rural Ethiopia&lt;/title&gt;&lt;secondary-title&gt;The Journal of Nutrition&lt;/secondary-title&gt;&lt;/titles&gt;&lt;periodical&gt;&lt;full-title&gt;The Journal of Nutrition&lt;/full-title&gt;&lt;/periodical&gt;&lt;volume&gt;In press&lt;/volume&gt;&lt;dates&gt;&lt;year&gt;2022&lt;/year&gt;&lt;/dates&gt;&lt;isbn&gt;0022-3166&lt;/isbn&gt;&lt;urls&gt;&lt;/urls&gt;&lt;/record&gt;&lt;/Cite&gt;&lt;/EndNote&gt;</w:instrText>
      </w:r>
      <w:r w:rsidR="00F60179" w:rsidRPr="00F60179">
        <w:rPr>
          <w:color w:val="000000"/>
          <w:szCs w:val="20"/>
        </w:rPr>
        <w:fldChar w:fldCharType="separate"/>
      </w:r>
      <w:r w:rsidR="00F60179" w:rsidRPr="00F60179">
        <w:rPr>
          <w:noProof/>
          <w:color w:val="000000"/>
          <w:szCs w:val="20"/>
        </w:rPr>
        <w:t>(Han et al., 2022)</w:t>
      </w:r>
      <w:r w:rsidR="00F60179" w:rsidRPr="00F60179">
        <w:rPr>
          <w:color w:val="000000"/>
          <w:szCs w:val="20"/>
        </w:rPr>
        <w:fldChar w:fldCharType="end"/>
      </w:r>
      <w:r w:rsidR="002707E7" w:rsidRPr="00F60179">
        <w:rPr>
          <w:color w:val="000000"/>
          <w:szCs w:val="20"/>
        </w:rPr>
        <w:t>.  However, given evidence from formative work that maternal time constraints in PSNP households can be a meaningful barrier to implementing optimal feeding practices (and these constraints could be potentially alleviated by paternal caretaking), we are particularly interested in exploring male engagement in caretaking as distinct from knowledge alone</w:t>
      </w:r>
      <w:r w:rsidR="00F60179" w:rsidRPr="00F60179">
        <w:rPr>
          <w:color w:val="000000"/>
          <w:szCs w:val="20"/>
        </w:rPr>
        <w:t xml:space="preserve"> </w:t>
      </w:r>
      <w:r w:rsidR="00F60179" w:rsidRPr="00F60179">
        <w:rPr>
          <w:color w:val="000000"/>
          <w:szCs w:val="20"/>
        </w:rPr>
        <w:fldChar w:fldCharType="begin"/>
      </w:r>
      <w:r w:rsidR="00F60179" w:rsidRPr="00F60179">
        <w:rPr>
          <w:color w:val="000000"/>
          <w:szCs w:val="20"/>
        </w:rPr>
        <w:instrText xml:space="preserve"> ADDIN EN.CITE &lt;EndNote&gt;&lt;Cite&gt;&lt;Author&gt;Leight&lt;/Author&gt;&lt;Year&gt;2023&lt;/Year&gt;&lt;RecNum&gt;4116&lt;/RecNum&gt;&lt;DisplayText&gt;(Leight et al., 2023)&lt;/DisplayText&gt;&lt;record&gt;&lt;rec-number&gt;4116&lt;/rec-number&gt;&lt;foreign-keys&gt;&lt;key app="EN" db-id="9x0erf0zjf29fkerve3vt0te2rwzx959avzx" timestamp="1675708332"&gt;4116&lt;/key&gt;&lt;/foreign-keys&gt;&lt;ref-type name="Electronic Article"&gt;43&lt;/ref-type&gt;&lt;contributors&gt;&lt;authors&gt;&lt;author&gt;Leight, Jessica&lt;/author&gt;&lt;author&gt;Alderman, Harold&lt;/author&gt;&lt;author&gt;Gilligan, Daniel O&lt;/author&gt;&lt;author&gt;Hidrobo, Melissa&lt;/author&gt;&lt;author&gt;Mulford, Michael&lt;/author&gt;&lt;author&gt;Tadesse, Elazar&lt;/author&gt;&lt;/authors&gt;&lt;/contributors&gt;&lt;titles&gt;&lt;title&gt;Barriers to adoption of optimal complementary feeding practices in Ethiopia: A formative qualitative investigation: Evidence from SPIR II&lt;/title&gt;&lt;secondary-title&gt;SPIR learning brief&lt;/secondary-title&gt;&lt;/titles&gt;&lt;periodical&gt;&lt;full-title&gt;SPIR learning brief&lt;/full-title&gt;&lt;/periodical&gt;&lt;volume&gt;7&lt;/volume&gt;&lt;dates&gt;&lt;year&gt;2023&lt;/year&gt;&lt;/dates&gt;&lt;pub-location&gt;Washington D.C.&lt;/pub-location&gt;&lt;publisher&gt;International Food Policy Research Institute (IFPRI)&lt;/publisher&gt;&lt;urls&gt;&lt;/urls&gt;&lt;/record&gt;&lt;/Cite&gt;&lt;/EndNote&gt;</w:instrText>
      </w:r>
      <w:r w:rsidR="00F60179" w:rsidRPr="00F60179">
        <w:rPr>
          <w:color w:val="000000"/>
          <w:szCs w:val="20"/>
        </w:rPr>
        <w:fldChar w:fldCharType="separate"/>
      </w:r>
      <w:r w:rsidR="00F60179" w:rsidRPr="00F60179">
        <w:rPr>
          <w:noProof/>
          <w:color w:val="000000"/>
          <w:szCs w:val="20"/>
        </w:rPr>
        <w:t>(Leight et al., 2023)</w:t>
      </w:r>
      <w:r w:rsidR="00F60179" w:rsidRPr="00F60179">
        <w:rPr>
          <w:color w:val="000000"/>
          <w:szCs w:val="20"/>
        </w:rPr>
        <w:fldChar w:fldCharType="end"/>
      </w:r>
      <w:r w:rsidR="00F60179" w:rsidRPr="00F60179">
        <w:rPr>
          <w:color w:val="000000"/>
          <w:szCs w:val="20"/>
        </w:rPr>
        <w:t>.</w:t>
      </w:r>
      <w:r w:rsidR="002707E7" w:rsidRPr="00F60179">
        <w:rPr>
          <w:color w:val="000000"/>
          <w:szCs w:val="20"/>
        </w:rPr>
        <w:t xml:space="preserve"> </w:t>
      </w:r>
    </w:p>
    <w:p w14:paraId="53EAD69A" w14:textId="4D4F29CA" w:rsidR="009A143B" w:rsidRDefault="009A143B" w:rsidP="00C20A66">
      <w:pPr>
        <w:tabs>
          <w:tab w:val="left" w:pos="3448"/>
        </w:tabs>
        <w:rPr>
          <w:color w:val="000000"/>
        </w:rPr>
      </w:pPr>
      <w:r>
        <w:rPr>
          <w:color w:val="000000"/>
        </w:rPr>
        <w:t xml:space="preserve">The </w:t>
      </w:r>
      <w:r w:rsidR="00D87A10">
        <w:rPr>
          <w:color w:val="000000"/>
        </w:rPr>
        <w:t>second</w:t>
      </w:r>
      <w:r>
        <w:rPr>
          <w:color w:val="000000"/>
        </w:rPr>
        <w:t xml:space="preserve"> dimension of heterogeneity is exposure to SPIR cash grants. As previously noted, the poorest third of households in treatment communities are eligible for one-time $300 livelihood grants.  Eligibility is determined based on an asset score constructed using baseline data on assets, and this eligibility determination was made uniformly by the research team for all sampled communities; accordingly, we can identify households who are and are not eligible for grants in both treatment and control communities.</w:t>
      </w:r>
      <w:r w:rsidR="004B2306">
        <w:rPr>
          <w:color w:val="000000"/>
        </w:rPr>
        <w:t xml:space="preserve"> </w:t>
      </w:r>
      <w:r>
        <w:rPr>
          <w:color w:val="000000"/>
        </w:rPr>
        <w:t xml:space="preserve">The effects of the bundled graduation model interventions on livelihoods outcomes (other than savings) </w:t>
      </w:r>
      <w:proofErr w:type="gramStart"/>
      <w:r>
        <w:rPr>
          <w:color w:val="000000"/>
        </w:rPr>
        <w:t>is</w:t>
      </w:r>
      <w:proofErr w:type="gramEnd"/>
      <w:r>
        <w:rPr>
          <w:color w:val="000000"/>
        </w:rPr>
        <w:t xml:space="preserve"> plausibly very small for the set of households (66</w:t>
      </w:r>
      <w:r w:rsidR="00D87A10">
        <w:rPr>
          <w:color w:val="000000"/>
        </w:rPr>
        <w:t xml:space="preserve"> percent</w:t>
      </w:r>
      <w:r>
        <w:rPr>
          <w:color w:val="000000"/>
        </w:rPr>
        <w:t>) who do not receive grants, given previous evidence. Accordingly, assessing the effects of NCGs and maternal grants in this subsample will allow us to minimize the role of any potential spillovers from livelihoods outcomes, and more credibly estimate the effects of NCGs and maternal cash grants alone on nutritional outcomes of interest.</w:t>
      </w:r>
    </w:p>
    <w:p w14:paraId="0CFEB7FD" w14:textId="1DACE1B1" w:rsidR="0072539B" w:rsidRDefault="0072539B" w:rsidP="0072539B">
      <w:pPr>
        <w:tabs>
          <w:tab w:val="left" w:pos="3448"/>
        </w:tabs>
        <w:rPr>
          <w:i/>
          <w:color w:val="000000"/>
        </w:rPr>
      </w:pPr>
      <w:r>
        <w:rPr>
          <w:i/>
          <w:color w:val="000000"/>
        </w:rPr>
        <w:t>Spillover effects</w:t>
      </w:r>
    </w:p>
    <w:p w14:paraId="3B98A9F3" w14:textId="40212766" w:rsidR="0072539B" w:rsidRDefault="00432B08" w:rsidP="00F86CE8">
      <w:pPr>
        <w:tabs>
          <w:tab w:val="left" w:pos="3448"/>
        </w:tabs>
        <w:rPr>
          <w:color w:val="000000"/>
        </w:rPr>
      </w:pPr>
      <w:r>
        <w:rPr>
          <w:color w:val="000000"/>
        </w:rPr>
        <w:t xml:space="preserve">We can </w:t>
      </w:r>
      <w:r w:rsidR="007B3C86">
        <w:rPr>
          <w:color w:val="000000"/>
        </w:rPr>
        <w:t>identify</w:t>
      </w:r>
      <w:r>
        <w:rPr>
          <w:color w:val="000000"/>
        </w:rPr>
        <w:t xml:space="preserve"> two channels through which households that are not directly exposed to SPIR programming can be affected by the program. First, the one-off livelihood grants and the monthly maternal cash grants could</w:t>
      </w:r>
      <w:r w:rsidR="00F86CE8">
        <w:rPr>
          <w:color w:val="000000"/>
        </w:rPr>
        <w:t xml:space="preserve"> theoretically lead to food and non-food price inflation</w:t>
      </w:r>
      <w:r>
        <w:rPr>
          <w:color w:val="000000"/>
        </w:rPr>
        <w:t xml:space="preserve"> </w:t>
      </w:r>
      <w:r w:rsidR="00F86CE8">
        <w:rPr>
          <w:color w:val="000000"/>
        </w:rPr>
        <w:t>in local markets</w:t>
      </w:r>
      <w:r>
        <w:rPr>
          <w:color w:val="000000"/>
        </w:rPr>
        <w:t xml:space="preserve"> resulting in harmful effects </w:t>
      </w:r>
      <w:r w:rsidR="00F86CE8">
        <w:rPr>
          <w:color w:val="000000"/>
        </w:rPr>
        <w:t>on</w:t>
      </w:r>
      <w:r>
        <w:rPr>
          <w:color w:val="000000"/>
        </w:rPr>
        <w:t xml:space="preserve"> non-beneficiaries </w:t>
      </w:r>
      <w:r w:rsidR="00F86CE8" w:rsidRPr="00344752">
        <w:rPr>
          <w:color w:val="000000"/>
        </w:rPr>
        <w:fldChar w:fldCharType="begin">
          <w:fldData xml:space="preserve">PEVuZE5vdGU+PENpdGU+PEF1dGhvcj5DdW5oYTwvQXV0aG9yPjxZZWFyPjIwMTk8L1llYXI+PFJl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</w:fldData>
        </w:fldChar>
      </w:r>
      <w:r w:rsidR="003E36AC" w:rsidRPr="00344752">
        <w:rPr>
          <w:color w:val="000000"/>
        </w:rPr>
        <w:instrText xml:space="preserve"> ADDIN EN.CITE </w:instrText>
      </w:r>
      <w:r w:rsidR="003E36AC" w:rsidRPr="00344752">
        <w:rPr>
          <w:color w:val="000000"/>
        </w:rPr>
        <w:fldChar w:fldCharType="begin">
          <w:fldData xml:space="preserve">PEVuZE5vdGU+PENpdGU+PEF1dGhvcj5DdW5oYTwvQXV0aG9yPjxZZWFyPjIwMTk8L1llYXI+PFJl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</w:fldData>
        </w:fldChar>
      </w:r>
      <w:r w:rsidR="003E36AC" w:rsidRPr="00344752">
        <w:rPr>
          <w:color w:val="000000"/>
        </w:rPr>
        <w:instrText xml:space="preserve"> ADDIN EN.CITE.DATA </w:instrText>
      </w:r>
      <w:r w:rsidR="003E36AC" w:rsidRPr="00344752">
        <w:rPr>
          <w:color w:val="000000"/>
        </w:rPr>
      </w:r>
      <w:r w:rsidR="003E36AC" w:rsidRPr="00344752">
        <w:rPr>
          <w:color w:val="000000"/>
        </w:rPr>
        <w:fldChar w:fldCharType="end"/>
      </w:r>
      <w:r w:rsidR="00F86CE8" w:rsidRPr="00344752">
        <w:rPr>
          <w:color w:val="000000"/>
        </w:rPr>
      </w:r>
      <w:r w:rsidR="00F86CE8" w:rsidRPr="00344752">
        <w:rPr>
          <w:color w:val="000000"/>
        </w:rPr>
        <w:fldChar w:fldCharType="separate"/>
      </w:r>
      <w:r w:rsidR="003E36AC" w:rsidRPr="00344752">
        <w:rPr>
          <w:noProof/>
          <w:color w:val="000000"/>
        </w:rPr>
        <w:t>(Cunha et al., 2019; Egger et al., 2022; Filmer et al., 2021)</w:t>
      </w:r>
      <w:r w:rsidR="00F86CE8" w:rsidRPr="00344752">
        <w:rPr>
          <w:color w:val="000000"/>
        </w:rPr>
        <w:fldChar w:fldCharType="end"/>
      </w:r>
      <w:r w:rsidRPr="00344752">
        <w:rPr>
          <w:color w:val="000000"/>
        </w:rPr>
        <w:t xml:space="preserve">. </w:t>
      </w:r>
      <w:r w:rsidR="00F86CE8" w:rsidRPr="00344752">
        <w:rPr>
          <w:color w:val="000000"/>
        </w:rPr>
        <w:t xml:space="preserve">In our study context, the program saturation with respect to </w:t>
      </w:r>
      <w:r w:rsidR="004B5C2C">
        <w:rPr>
          <w:color w:val="000000"/>
        </w:rPr>
        <w:t>livelihood</w:t>
      </w:r>
      <w:r w:rsidR="004B5C2C" w:rsidRPr="00344752">
        <w:rPr>
          <w:color w:val="000000"/>
        </w:rPr>
        <w:t xml:space="preserve"> </w:t>
      </w:r>
      <w:r w:rsidR="00F86CE8" w:rsidRPr="00344752">
        <w:rPr>
          <w:color w:val="000000"/>
        </w:rPr>
        <w:t xml:space="preserve">transfers is low: in each kebele only </w:t>
      </w:r>
      <w:r w:rsidR="007B3C86">
        <w:rPr>
          <w:color w:val="000000"/>
        </w:rPr>
        <w:t>five</w:t>
      </w:r>
      <w:r w:rsidR="00D87A10">
        <w:rPr>
          <w:color w:val="000000"/>
        </w:rPr>
        <w:t xml:space="preserve"> percent of</w:t>
      </w:r>
      <w:r w:rsidR="00F86CE8" w:rsidRPr="00344752">
        <w:rPr>
          <w:color w:val="000000"/>
        </w:rPr>
        <w:t xml:space="preserve"> households</w:t>
      </w:r>
      <w:r w:rsidR="004B5C2C">
        <w:rPr>
          <w:color w:val="000000"/>
        </w:rPr>
        <w:t>, on average,</w:t>
      </w:r>
      <w:r w:rsidR="00F86CE8" w:rsidRPr="00344752">
        <w:rPr>
          <w:color w:val="000000"/>
        </w:rPr>
        <w:t xml:space="preserve"> are eligible for </w:t>
      </w:r>
      <w:r w:rsidR="004B5C2C">
        <w:rPr>
          <w:color w:val="000000"/>
        </w:rPr>
        <w:t xml:space="preserve">these </w:t>
      </w:r>
      <w:r w:rsidR="00F86CE8" w:rsidRPr="00344752">
        <w:rPr>
          <w:color w:val="000000"/>
        </w:rPr>
        <w:t>transfers.</w:t>
      </w:r>
      <w:r w:rsidR="004B5C2C">
        <w:rPr>
          <w:color w:val="000000"/>
        </w:rPr>
        <w:t xml:space="preserve"> As the maternal grants are only provided to households enrolled in this evaluation, the saturation levels are </w:t>
      </w:r>
      <w:r w:rsidR="007B3C86">
        <w:rPr>
          <w:color w:val="000000"/>
        </w:rPr>
        <w:t>even lower</w:t>
      </w:r>
      <w:r w:rsidR="004B5C2C">
        <w:rPr>
          <w:color w:val="000000"/>
        </w:rPr>
        <w:t>.</w:t>
      </w:r>
      <w:r w:rsidR="00F86CE8" w:rsidRPr="00344752">
        <w:rPr>
          <w:color w:val="000000"/>
        </w:rPr>
        <w:t xml:space="preserve"> Consequently, </w:t>
      </w:r>
      <w:r w:rsidR="004B5C2C">
        <w:rPr>
          <w:color w:val="000000"/>
        </w:rPr>
        <w:t>we consider the</w:t>
      </w:r>
      <w:r w:rsidR="004B5C2C" w:rsidRPr="00344752">
        <w:rPr>
          <w:color w:val="000000"/>
        </w:rPr>
        <w:t xml:space="preserve"> </w:t>
      </w:r>
      <w:r w:rsidR="00F86CE8" w:rsidRPr="00344752">
        <w:rPr>
          <w:color w:val="000000"/>
        </w:rPr>
        <w:t xml:space="preserve">risk of such negative spillover effects </w:t>
      </w:r>
      <w:r w:rsidR="004B5C2C">
        <w:rPr>
          <w:color w:val="000000"/>
        </w:rPr>
        <w:t>as</w:t>
      </w:r>
      <w:r w:rsidR="00F86CE8" w:rsidRPr="00344752">
        <w:rPr>
          <w:color w:val="000000"/>
        </w:rPr>
        <w:t xml:space="preserve"> negligible</w:t>
      </w:r>
      <w:r>
        <w:rPr>
          <w:color w:val="000000"/>
        </w:rPr>
        <w:t xml:space="preserve">. Second, caregivers in the control kebeles may interact with caregivers exposed to the NGC programming. </w:t>
      </w:r>
      <w:r w:rsidR="00B514C3">
        <w:rPr>
          <w:color w:val="000000"/>
        </w:rPr>
        <w:t xml:space="preserve">Considering </w:t>
      </w:r>
      <w:r w:rsidR="007C77F0">
        <w:rPr>
          <w:color w:val="000000"/>
        </w:rPr>
        <w:t>our</w:t>
      </w:r>
      <w:r w:rsidR="00B514C3">
        <w:rPr>
          <w:color w:val="000000"/>
        </w:rPr>
        <w:t xml:space="preserve"> cluster-RCT design </w:t>
      </w:r>
      <w:r w:rsidR="007C77F0">
        <w:rPr>
          <w:color w:val="000000"/>
        </w:rPr>
        <w:t>in which</w:t>
      </w:r>
      <w:r w:rsidR="00B514C3">
        <w:rPr>
          <w:color w:val="000000"/>
        </w:rPr>
        <w:t xml:space="preserve"> each kebele is formed of multiple villages, we </w:t>
      </w:r>
      <w:r w:rsidR="00F86CE8">
        <w:rPr>
          <w:color w:val="000000"/>
        </w:rPr>
        <w:t>anticipate that</w:t>
      </w:r>
      <w:r w:rsidR="00B514C3">
        <w:rPr>
          <w:color w:val="000000"/>
        </w:rPr>
        <w:t xml:space="preserve"> such learning spillover effects </w:t>
      </w:r>
      <w:r w:rsidR="00F86CE8">
        <w:rPr>
          <w:color w:val="000000"/>
        </w:rPr>
        <w:t>will be small</w:t>
      </w:r>
      <w:r w:rsidR="00B514C3">
        <w:rPr>
          <w:color w:val="000000"/>
        </w:rPr>
        <w:t xml:space="preserve">. Nevertheless, we plan to monitor this by carefully analyzing the changes in caregiver knowledge in the control kebeles across survey </w:t>
      </w:r>
      <w:r w:rsidR="00B514C3">
        <w:rPr>
          <w:color w:val="000000"/>
        </w:rPr>
        <w:lastRenderedPageBreak/>
        <w:t>rounds. In the midline survey, we will also include qualitative questions about interactions between caregivers</w:t>
      </w:r>
      <w:r w:rsidR="00F86CE8">
        <w:rPr>
          <w:color w:val="000000"/>
        </w:rPr>
        <w:t xml:space="preserve"> within and</w:t>
      </w:r>
      <w:r w:rsidR="00B514C3">
        <w:rPr>
          <w:color w:val="000000"/>
        </w:rPr>
        <w:t xml:space="preserve"> across kebele boundaries.</w:t>
      </w:r>
    </w:p>
    <w:p w14:paraId="3F4F75F5" w14:textId="62A0D63D" w:rsidR="00AC63B0" w:rsidRDefault="00834EA2" w:rsidP="00AC63B0">
      <w:pPr>
        <w:pStyle w:val="Heading1"/>
      </w:pPr>
      <w:r>
        <w:t>Limitations and Challenges</w:t>
      </w:r>
    </w:p>
    <w:p w14:paraId="6346B3CC" w14:textId="4E8C9625" w:rsidR="009A3F98" w:rsidRDefault="009A3F98" w:rsidP="009A3F98">
      <w:bookmarkStart w:id="65" w:name="_Hlk143774227"/>
      <w:r>
        <w:t xml:space="preserve">We emphasize that the broader interpretation of the treatment effects in our trial </w:t>
      </w:r>
      <w:r w:rsidR="00AC2D3E">
        <w:t>is conditional on the receipt of PSNP consumption support by households in all three treatment arms</w:t>
      </w:r>
      <w:r>
        <w:t>. We lack the counter-</w:t>
      </w:r>
      <w:proofErr w:type="gramStart"/>
      <w:r>
        <w:t>factual</w:t>
      </w:r>
      <w:proofErr w:type="gramEnd"/>
      <w:r>
        <w:t xml:space="preserve"> to what would </w:t>
      </w:r>
      <w:r w:rsidR="00AC2D3E">
        <w:t>be observed</w:t>
      </w:r>
      <w:r>
        <w:t xml:space="preserve"> if the control group did not benefit from the PSNP. Therefore, while our findings can be informative about extending safety net programs to include similar livelihood and nutrition components, we should be cautious about exporting these lessons to contexts without an existing safety net program.</w:t>
      </w:r>
    </w:p>
    <w:bookmarkEnd w:id="65"/>
    <w:p w14:paraId="0B3CD920" w14:textId="63AC2D92" w:rsidR="00AC63B0" w:rsidRDefault="009A3F98" w:rsidP="00BF1ABE">
      <w:pPr>
        <w:rPr>
          <w:color w:val="000000"/>
        </w:rPr>
      </w:pPr>
      <w:r>
        <w:t>As for challenges, p</w:t>
      </w:r>
      <w:r w:rsidR="00AC63B0">
        <w:t xml:space="preserve">erhaps the </w:t>
      </w:r>
      <w:r w:rsidR="007B3C86">
        <w:t xml:space="preserve">primary </w:t>
      </w:r>
      <w:r w:rsidR="00AC63B0">
        <w:t xml:space="preserve">risk for the program implementation and </w:t>
      </w:r>
      <w:r w:rsidR="007B3C86">
        <w:t>for this evaluation</w:t>
      </w:r>
      <w:r w:rsidR="00AC63B0">
        <w:t xml:space="preserve"> is the re-emergence of the conflict that </w:t>
      </w:r>
      <w:r w:rsidR="007B3C86">
        <w:t>unfolded</w:t>
      </w:r>
      <w:r w:rsidR="00AC63B0">
        <w:t xml:space="preserve"> in Northern Ethiopia in 2020-2022. The main warring parties signed a peace accord in November 2022 and </w:t>
      </w:r>
      <w:r w:rsidR="00834EA2">
        <w:t xml:space="preserve">the </w:t>
      </w:r>
      <w:r w:rsidR="00AC63B0">
        <w:t>situation has remained calm</w:t>
      </w:r>
      <w:r w:rsidR="00834EA2">
        <w:t xml:space="preserve"> since then</w:t>
      </w:r>
      <w:r w:rsidR="00AC63B0">
        <w:t xml:space="preserve">. </w:t>
      </w:r>
      <w:r w:rsidR="00834EA2">
        <w:t>A possible re-emergence of the conflict would likely affect the implementation of the SPIR program in the Amhara region</w:t>
      </w:r>
      <w:r w:rsidR="007B3C86">
        <w:t>;</w:t>
      </w:r>
      <w:r w:rsidR="00834EA2">
        <w:t xml:space="preserve"> </w:t>
      </w:r>
      <w:r w:rsidR="007B3C86">
        <w:t>m</w:t>
      </w:r>
      <w:r w:rsidR="00834EA2">
        <w:t xml:space="preserve">oreover, we will not send survey teams to </w:t>
      </w:r>
      <w:r w:rsidR="007B3C86">
        <w:t>any active conflict areas</w:t>
      </w:r>
      <w:r w:rsidR="00834EA2">
        <w:t>. Both the study team and the implementation partners are actively monitoring the situation and will act accordingly to ensure the safety of the implementation and survey staff. However, as of March 2023, the re-emergence of the conflict in North</w:t>
      </w:r>
      <w:r w:rsidR="00BD53D3">
        <w:t>ern</w:t>
      </w:r>
      <w:r w:rsidR="00834EA2">
        <w:t xml:space="preserve"> Ethiopia seems unlikely.</w:t>
      </w:r>
    </w:p>
    <w:p w14:paraId="0F83E83B" w14:textId="77777777" w:rsidR="00834EA2" w:rsidRDefault="00834EA2">
      <w:pPr>
        <w:spacing w:before="0" w:after="160" w:line="259" w:lineRule="auto"/>
        <w:jc w:val="left"/>
        <w:rPr>
          <w:rFonts w:eastAsiaTheme="majorEastAsia" w:cstheme="majorBidi"/>
          <w:b/>
          <w:sz w:val="28"/>
          <w:szCs w:val="32"/>
        </w:rPr>
      </w:pPr>
      <w:bookmarkStart w:id="66" w:name="_Toc126582986"/>
      <w:r>
        <w:br w:type="page"/>
      </w:r>
    </w:p>
    <w:p w14:paraId="5D3EE957" w14:textId="306E38C0" w:rsidR="00334DF2" w:rsidRPr="00814491" w:rsidRDefault="00541546" w:rsidP="00F6389C">
      <w:pPr>
        <w:pStyle w:val="Heading1"/>
        <w:numPr>
          <w:ilvl w:val="0"/>
          <w:numId w:val="0"/>
        </w:numPr>
        <w:ind w:left="720" w:hanging="720"/>
      </w:pPr>
      <w:r>
        <w:lastRenderedPageBreak/>
        <w:t>Bibliography</w:t>
      </w:r>
      <w:bookmarkEnd w:id="66"/>
    </w:p>
    <w:bookmarkStart w:id="67" w:name="_1v1yuxt" w:colFirst="0" w:colLast="0"/>
    <w:bookmarkEnd w:id="67"/>
    <w:p w14:paraId="3805D8D0" w14:textId="77777777" w:rsidR="002C4495" w:rsidRPr="002C4495" w:rsidRDefault="007B10FF" w:rsidP="002C4495">
      <w:pPr>
        <w:pStyle w:val="EndNoteBibliography"/>
        <w:spacing w:after="0"/>
      </w:pPr>
      <w:r>
        <w:rPr>
          <w:rFonts w:eastAsiaTheme="majorEastAsia" w:cstheme="majorBidi"/>
          <w:sz w:val="28"/>
          <w:szCs w:val="32"/>
        </w:rPr>
        <w:fldChar w:fldCharType="begin"/>
      </w:r>
      <w:r>
        <w:rPr>
          <w:rFonts w:eastAsiaTheme="majorEastAsia" w:cstheme="majorBidi"/>
          <w:sz w:val="28"/>
          <w:szCs w:val="32"/>
        </w:rPr>
        <w:instrText xml:space="preserve"> ADDIN EN.REFLIST </w:instrText>
      </w:r>
      <w:r>
        <w:rPr>
          <w:rFonts w:eastAsiaTheme="majorEastAsia" w:cstheme="majorBidi"/>
          <w:sz w:val="28"/>
          <w:szCs w:val="32"/>
        </w:rPr>
        <w:fldChar w:fldCharType="separate"/>
      </w:r>
      <w:r w:rsidR="002C4495" w:rsidRPr="002C4495">
        <w:t>Abadie A, Athey S, Imbens GW, Wooldridge J. When should you adjust standard errors for clustering? Quart. J. Econ. 2022;138; 1–35.</w:t>
      </w:r>
    </w:p>
    <w:p w14:paraId="67756510" w14:textId="77777777" w:rsidR="002C4495" w:rsidRPr="002C4495" w:rsidRDefault="002C4495" w:rsidP="002C4495">
      <w:pPr>
        <w:pStyle w:val="EndNoteBibliography"/>
        <w:spacing w:after="0"/>
      </w:pPr>
      <w:r w:rsidRPr="002C4495">
        <w:t>Abate GT, Dereje M, Hirvonen K, Minten B. Geography of public service delivery in rural Ethiopia. World Development 2020;136.</w:t>
      </w:r>
    </w:p>
    <w:p w14:paraId="795BD392" w14:textId="77777777" w:rsidR="002C4495" w:rsidRPr="002C4495" w:rsidRDefault="002C4495" w:rsidP="002C4495">
      <w:pPr>
        <w:pStyle w:val="EndNoteBibliography"/>
        <w:spacing w:after="0"/>
      </w:pPr>
      <w:r w:rsidRPr="002C4495">
        <w:t>Ahmed A, Hoddinott J, Roy S. Food transfers, cash transfers, behavior change communication and child nutrition: Evidence from Bangladesh. IFPRI Discussion Paper, vol. 1868. International Food Policy Research Institute (IFPRI); 2019.</w:t>
      </w:r>
    </w:p>
    <w:p w14:paraId="0E826F55" w14:textId="77777777" w:rsidR="002C4495" w:rsidRPr="002C4495" w:rsidRDefault="002C4495" w:rsidP="002C4495">
      <w:pPr>
        <w:pStyle w:val="EndNoteBibliography"/>
        <w:spacing w:after="0"/>
      </w:pPr>
      <w:r w:rsidRPr="002C4495">
        <w:t>Alderman H, Billings L, Gilligan DO, Hidrobo M, Leight J, Taffesse AS, Tambet H. Impact evaluation of the strengthen PSNP4 institutions and resilience (SPIR) development food security activity (DFSA): Endline report. International Food Policy Research Institute (IFPRI): Washington D.C.; 2021.</w:t>
      </w:r>
    </w:p>
    <w:p w14:paraId="3C00C3F9" w14:textId="77777777" w:rsidR="002C4495" w:rsidRPr="002C4495" w:rsidRDefault="002C4495" w:rsidP="002C4495">
      <w:pPr>
        <w:pStyle w:val="EndNoteBibliography"/>
        <w:spacing w:after="0"/>
      </w:pPr>
      <w:r w:rsidRPr="002C4495">
        <w:t>Alderman H, Gilligan DO, Leight J, Mulford M, Tambet H. The role of poultry transfers in diet diversity: A cluster randomized intent to treat analysis. Food Policy 2022;107; 102212.</w:t>
      </w:r>
    </w:p>
    <w:p w14:paraId="7524E321" w14:textId="77777777" w:rsidR="002C4495" w:rsidRPr="002C4495" w:rsidRDefault="002C4495" w:rsidP="002C4495">
      <w:pPr>
        <w:pStyle w:val="EndNoteBibliography"/>
        <w:spacing w:after="0"/>
      </w:pPr>
      <w:r w:rsidRPr="002C4495">
        <w:t>Alderman H, Headey D. The timing of growth faltering has important implications for observational analyses of the underlying determinants of nutrition outcomes. PloS one 2018;13; e0195904.</w:t>
      </w:r>
    </w:p>
    <w:p w14:paraId="09949000" w14:textId="77777777" w:rsidR="002C4495" w:rsidRPr="002C4495" w:rsidRDefault="002C4495" w:rsidP="002C4495">
      <w:pPr>
        <w:pStyle w:val="EndNoteBibliography"/>
        <w:spacing w:after="0"/>
      </w:pPr>
      <w:r w:rsidRPr="002C4495">
        <w:t>Alderman H, Hoddinott J, Kinsey B. Long term consequences of early childhood malnutrition. Oxford Economic Papers-New Series 2006;58; 450-474.</w:t>
      </w:r>
    </w:p>
    <w:p w14:paraId="78624D09" w14:textId="77777777" w:rsidR="002C4495" w:rsidRPr="002C4495" w:rsidRDefault="002C4495" w:rsidP="002C4495">
      <w:pPr>
        <w:pStyle w:val="EndNoteBibliography"/>
        <w:spacing w:after="0"/>
      </w:pPr>
      <w:r w:rsidRPr="002C4495">
        <w:t>Anderson ML. Multiple inference and gender differences in the effects of early intervention: A reevaluation of the Abecedarian, Perry Preschool, and Early Training Projects. J. Amer. Statistical Assoc. 2008;103; 1481-1495.</w:t>
      </w:r>
    </w:p>
    <w:p w14:paraId="34AFB6B4" w14:textId="77777777" w:rsidR="002C4495" w:rsidRPr="002C4495" w:rsidRDefault="002C4495" w:rsidP="002C4495">
      <w:pPr>
        <w:pStyle w:val="EndNoteBibliography"/>
        <w:spacing w:after="0"/>
      </w:pPr>
      <w:r w:rsidRPr="002C4495">
        <w:t>Andrews C, Hsiao A, Ralston L. Social Safety Nets Promote Poverty Reduction, Increase Resilience, and Expand Opportunities. In: Beegle K, Coudouel A, Monsalve E (Eds), Realizing the Full Potential of Social Safety Nets in Africa. The World Bank: Washington, D.C.; 2018.</w:t>
      </w:r>
    </w:p>
    <w:p w14:paraId="4144CC5A" w14:textId="77777777" w:rsidR="002C4495" w:rsidRPr="002C4495" w:rsidRDefault="002C4495" w:rsidP="002C4495">
      <w:pPr>
        <w:pStyle w:val="EndNoteBibliography"/>
        <w:spacing w:after="0"/>
      </w:pPr>
      <w:r w:rsidRPr="002C4495">
        <w:t>Balboni C, Bandiera O, Burgess R, Ghatak M, Heil A. Why do people stay poor? The Quarterly Journal of Economics 2022;137; 785-844.</w:t>
      </w:r>
    </w:p>
    <w:p w14:paraId="6EF74965" w14:textId="77777777" w:rsidR="002C4495" w:rsidRPr="002C4495" w:rsidRDefault="002C4495" w:rsidP="002C4495">
      <w:pPr>
        <w:pStyle w:val="EndNoteBibliography"/>
        <w:spacing w:after="0"/>
      </w:pPr>
      <w:r w:rsidRPr="002C4495">
        <w:t>Bandiera O, Burgess R, Das N, Gulesci S, Rasul I, Sulaiman M. Labor markets and poverty in village economies. The Quarterly Journal of Economics 2017;132; 811-870.</w:t>
      </w:r>
    </w:p>
    <w:p w14:paraId="2A72BD37" w14:textId="77777777" w:rsidR="002C4495" w:rsidRPr="002C4495" w:rsidRDefault="002C4495" w:rsidP="002C4495">
      <w:pPr>
        <w:pStyle w:val="EndNoteBibliography"/>
        <w:spacing w:after="0"/>
      </w:pPr>
      <w:r w:rsidRPr="002C4495">
        <w:t>Banerjee A, Duflo E, Goldberg N, Karlan D, Osei R, Parienté W, Shapiro J, Thuysbaert B, Udry C. A multifaceted program causes lasting progress for the very poor: Evidence from six countries. Science 2015;348; 1260799.</w:t>
      </w:r>
    </w:p>
    <w:p w14:paraId="1D83651F" w14:textId="77777777" w:rsidR="002C4495" w:rsidRPr="002C4495" w:rsidRDefault="002C4495" w:rsidP="002C4495">
      <w:pPr>
        <w:pStyle w:val="EndNoteBibliography"/>
        <w:spacing w:after="0"/>
      </w:pPr>
      <w:r w:rsidRPr="002C4495">
        <w:t>Banerjee A, Duflo E, Sharma G. Long-term effects of the targeting the ultra poor program. American Economic Review: Insights 2021;3; 471-486.</w:t>
      </w:r>
    </w:p>
    <w:p w14:paraId="61768CA7" w14:textId="77777777" w:rsidR="002C4495" w:rsidRPr="002C4495" w:rsidRDefault="002C4495" w:rsidP="002C4495">
      <w:pPr>
        <w:pStyle w:val="EndNoteBibliography"/>
        <w:spacing w:after="0"/>
      </w:pPr>
      <w:r w:rsidRPr="002C4495">
        <w:t>Banerjee A, Karlan D, Osei R, Trachtman H, Udry C. Unpacking a multi-faceted program to build sustainable income for the very poor. Journal of Development Economics 2022;155; 102781.</w:t>
      </w:r>
    </w:p>
    <w:p w14:paraId="43C9F2C8" w14:textId="77777777" w:rsidR="002C4495" w:rsidRPr="002C4495" w:rsidRDefault="002C4495" w:rsidP="002C4495">
      <w:pPr>
        <w:pStyle w:val="EndNoteBibliography"/>
        <w:spacing w:after="0"/>
      </w:pPr>
      <w:r w:rsidRPr="002C4495">
        <w:t>Bedoya G, Coville A, Haushofer J, Isaqzadeh M, Shapiro JP. No household left behind: Afghanistan targeting the ultra poor impact evaluation. National Bureau of Economic Research; 2019.</w:t>
      </w:r>
    </w:p>
    <w:p w14:paraId="333E6F61" w14:textId="77777777" w:rsidR="002C4495" w:rsidRPr="002C4495" w:rsidRDefault="002C4495" w:rsidP="002C4495">
      <w:pPr>
        <w:pStyle w:val="EndNoteBibliography"/>
        <w:spacing w:after="0"/>
      </w:pPr>
      <w:r w:rsidRPr="002C4495">
        <w:t>Beegle K, Coudouel A, Monsalve E. Realizing the Full Potential of Social Safety Nets in Africa. The World Bank: Washington D.C.; 2018.</w:t>
      </w:r>
    </w:p>
    <w:p w14:paraId="47B7233E" w14:textId="77777777" w:rsidR="002C4495" w:rsidRPr="002C4495" w:rsidRDefault="002C4495" w:rsidP="002C4495">
      <w:pPr>
        <w:pStyle w:val="EndNoteBibliography"/>
        <w:spacing w:after="0"/>
      </w:pPr>
      <w:r w:rsidRPr="002C4495">
        <w:t>Berhane G, Golan J, Hirvonen K, Hoddinott J, Kim S, Taffesse AS, Abay K, Assefa T, Habte Y, Hiluf M, Koru B, Tadesse F, Yimer F. Evaluation of the Nutrition-sensitive Features of the Fourth Phase of Ethiopia's Productive Safety Net Programme. IFPRI-ESSP Working Paper, vol. 140. International Food Policy Research Institute (IFPRI), Ethiopia Strategy Support Program (ESSP): Addis Ababa; 2020.</w:t>
      </w:r>
    </w:p>
    <w:p w14:paraId="1E6DB9FF" w14:textId="77777777" w:rsidR="002C4495" w:rsidRPr="002C4495" w:rsidRDefault="002C4495" w:rsidP="002C4495">
      <w:pPr>
        <w:pStyle w:val="EndNoteBibliography"/>
        <w:spacing w:after="0"/>
      </w:pPr>
      <w:r w:rsidRPr="002C4495">
        <w:t>Berhane G, Hirvonen K, Hoddinott J, Kim S, Taffesse AS, Abay K, Hiluf M, Koru B, Assefa T, Yimer F. Evaluation of the Nutrition Sensitive Features of the Productive Safety Nets Programme IV: Baseline Survey Report. Unpublished report. 2017.</w:t>
      </w:r>
    </w:p>
    <w:p w14:paraId="7CCBE725" w14:textId="77777777" w:rsidR="002C4495" w:rsidRPr="002C4495" w:rsidRDefault="002C4495" w:rsidP="002C4495">
      <w:pPr>
        <w:pStyle w:val="EndNoteBibliography"/>
        <w:spacing w:after="0"/>
      </w:pPr>
      <w:r w:rsidRPr="002C4495">
        <w:lastRenderedPageBreak/>
        <w:t>Berhane G, Hoddinott J, Kumar N, Margolies A. The impact of Ethiopia’s Productive Safety Net Programme on the nutritional status of children: 2008–2012. IFPRI-ESSP working paper, vol. 99. International Food Policy Research Institute (IFPRI): Washington D.C.; 2015.</w:t>
      </w:r>
    </w:p>
    <w:p w14:paraId="119D18E1" w14:textId="77777777" w:rsidR="002C4495" w:rsidRPr="002C4495" w:rsidRDefault="002C4495" w:rsidP="002C4495">
      <w:pPr>
        <w:pStyle w:val="EndNoteBibliography"/>
        <w:spacing w:after="0"/>
      </w:pPr>
      <w:r w:rsidRPr="002C4495">
        <w:t>Bossuroy T, Goldstein M, Karimou B, Karlan D, Kazianga H, Parienté W, Premand P, Thomas CC, Udry C, Vaillant J. Tackling psychosocial and capital constraints to alleviate poverty. Nature 2022;605; 291-297.</w:t>
      </w:r>
    </w:p>
    <w:p w14:paraId="192A3C94" w14:textId="77777777" w:rsidR="002C4495" w:rsidRPr="002C4495" w:rsidRDefault="002C4495" w:rsidP="002C4495">
      <w:pPr>
        <w:pStyle w:val="EndNoteBibliography"/>
        <w:spacing w:after="0"/>
      </w:pPr>
      <w:r w:rsidRPr="002C4495">
        <w:t>Bouguen A, Dillon A. The impact of a multidimensional program on nutrition and poverty in Burkina Faso. Journal of Development Economics 2019; Pre-results review.</w:t>
      </w:r>
    </w:p>
    <w:p w14:paraId="7A3C6418" w14:textId="77777777" w:rsidR="002C4495" w:rsidRPr="002C4495" w:rsidRDefault="002C4495" w:rsidP="002C4495">
      <w:pPr>
        <w:pStyle w:val="EndNoteBibliography"/>
        <w:spacing w:after="0"/>
      </w:pPr>
      <w:r w:rsidRPr="002C4495">
        <w:t>Brune L, Karlan D, Kurdi S, Udry C. Social protection amidst social upheaval: Examining the impact of a multi-faceted program for ultra-poor households in Yemen. Journal of Development Economics 2022;155; 102780.</w:t>
      </w:r>
    </w:p>
    <w:p w14:paraId="05E6529B" w14:textId="77777777" w:rsidR="002C4495" w:rsidRPr="002C4495" w:rsidRDefault="002C4495" w:rsidP="002C4495">
      <w:pPr>
        <w:pStyle w:val="EndNoteBibliography"/>
        <w:spacing w:after="0"/>
      </w:pPr>
      <w:r w:rsidRPr="002C4495">
        <w:t>CSA, ICF. Ethiopia Demographic and Health Survey 2016. Central Statistical Agency (CSA) of Ethiopia and ICF: Addis Ababa, Ethiopia, and Rockville, Maryland, USA; 2016.</w:t>
      </w:r>
    </w:p>
    <w:p w14:paraId="28057D57" w14:textId="77777777" w:rsidR="002C4495" w:rsidRPr="002C4495" w:rsidRDefault="002C4495" w:rsidP="002C4495">
      <w:pPr>
        <w:pStyle w:val="EndNoteBibliography"/>
        <w:spacing w:after="0"/>
      </w:pPr>
      <w:r w:rsidRPr="002C4495">
        <w:t>Cunha JM, De Giorgi G, Jayachandran S. The price effects of cash versus in-kind transfers. The Review of Economic Studies 2019;86; 240-281.</w:t>
      </w:r>
    </w:p>
    <w:p w14:paraId="576B04A5" w14:textId="77777777" w:rsidR="002C4495" w:rsidRPr="002C4495" w:rsidRDefault="002C4495" w:rsidP="002C4495">
      <w:pPr>
        <w:pStyle w:val="EndNoteBibliography"/>
        <w:spacing w:after="0"/>
      </w:pPr>
      <w:r w:rsidRPr="002C4495">
        <w:t>Currie J, Vogl T. Early-Life Health and Adult Circumstance in Developing Countries. Annual Review of Economics 2013;5; 1-36.</w:t>
      </w:r>
    </w:p>
    <w:p w14:paraId="2471FD90" w14:textId="77777777" w:rsidR="002C4495" w:rsidRPr="002C4495" w:rsidRDefault="002C4495" w:rsidP="002C4495">
      <w:pPr>
        <w:pStyle w:val="EndNoteBibliography"/>
        <w:spacing w:after="0"/>
      </w:pPr>
      <w:r w:rsidRPr="002C4495">
        <w:t>Davis TP, Wetzel C, Avilan EH, de Mendoza Lopes C, Chase RP, Winch PJ, Perry HB. Reducing child global undernutrition at scale in Sofala Province, Mozambique, using Care Group Volunteers to communicate health messages to mothers. Global Health: Science and Practice 2013;1; 35-51.</w:t>
      </w:r>
    </w:p>
    <w:p w14:paraId="1A6AEDC4" w14:textId="77777777" w:rsidR="002C4495" w:rsidRPr="002C4495" w:rsidRDefault="002C4495" w:rsidP="002C4495">
      <w:pPr>
        <w:pStyle w:val="EndNoteBibliography"/>
        <w:spacing w:after="0"/>
      </w:pPr>
      <w:r w:rsidRPr="002C4495">
        <w:t>de Onis M, Onyango AW, Borghi E, Siyam A, Nishida C, Siekmann J. Development of a WHO growth reference for school-aged children and adolescents. Bull. World Health Organ. 2007;85; 660-667.</w:t>
      </w:r>
    </w:p>
    <w:p w14:paraId="421B1A14" w14:textId="77777777" w:rsidR="002C4495" w:rsidRPr="002C4495" w:rsidRDefault="002C4495" w:rsidP="002C4495">
      <w:pPr>
        <w:pStyle w:val="EndNoteBibliography"/>
        <w:spacing w:after="0"/>
      </w:pPr>
      <w:r w:rsidRPr="002C4495">
        <w:t>Deaton A, Grosh M. Consumption. In: Grosh M, Glewwe P (Eds), Designing Household Survey Questionaires for Developing Countries: Lessons from 15 Years of Living Standards Measurement Study, vol. 1. World Bank: Washington D.C.; 2000. p. 91-133.</w:t>
      </w:r>
    </w:p>
    <w:p w14:paraId="592FC0E9" w14:textId="77777777" w:rsidR="002C4495" w:rsidRPr="002C4495" w:rsidRDefault="002C4495" w:rsidP="002C4495">
      <w:pPr>
        <w:pStyle w:val="EndNoteBibliography"/>
        <w:spacing w:after="0"/>
      </w:pPr>
      <w:r w:rsidRPr="002C4495">
        <w:t>Deaton A, Zaidi S. Guidelines for constructing consumption aggregates for welfare analysis. World Bank Publications; 2002.</w:t>
      </w:r>
    </w:p>
    <w:p w14:paraId="1AEBEDEB" w14:textId="77777777" w:rsidR="002C4495" w:rsidRPr="002C4495" w:rsidRDefault="002C4495" w:rsidP="002C4495">
      <w:pPr>
        <w:pStyle w:val="EndNoteBibliography"/>
        <w:spacing w:after="0"/>
      </w:pPr>
      <w:r w:rsidRPr="002C4495">
        <w:t>Dercon S, Porter C. Live Aid Revisited: Long-term Impacts of the 1984 Ethiopian Famine on Children. Journal of the European Economic Association 2014;12; 927-948.</w:t>
      </w:r>
    </w:p>
    <w:p w14:paraId="2A49A577" w14:textId="77777777" w:rsidR="002C4495" w:rsidRPr="002C4495" w:rsidRDefault="002C4495" w:rsidP="002C4495">
      <w:pPr>
        <w:pStyle w:val="EndNoteBibliography"/>
        <w:spacing w:after="0"/>
      </w:pPr>
      <w:r w:rsidRPr="002C4495">
        <w:t>Egger D, Haushofer J, Miguel E, Niehaus P, Walker MW. General equilibrium effects of cash transfers: experimental evidence from Kenya. Econometrica 2022;90.</w:t>
      </w:r>
    </w:p>
    <w:p w14:paraId="14952EF8" w14:textId="77777777" w:rsidR="002C4495" w:rsidRPr="002C4495" w:rsidRDefault="002C4495" w:rsidP="002C4495">
      <w:pPr>
        <w:pStyle w:val="EndNoteBibliography"/>
        <w:spacing w:after="0"/>
      </w:pPr>
      <w:r w:rsidRPr="002C4495">
        <w:t>Escueta M, Whetten K, Ostermann J, O’Donnell K. Adverse childhood experiences, psychosocial well-being and cognitive development among orphans and abandoned children in five low income countries. BMC Int. Health Hum. Rights 2014;14; 1-13.</w:t>
      </w:r>
    </w:p>
    <w:p w14:paraId="445EC14E" w14:textId="77777777" w:rsidR="002C4495" w:rsidRPr="002C4495" w:rsidRDefault="002C4495" w:rsidP="002C4495">
      <w:pPr>
        <w:pStyle w:val="EndNoteBibliography"/>
        <w:spacing w:after="0"/>
      </w:pPr>
      <w:r w:rsidRPr="002C4495">
        <w:t>FAO, IFAD, UNICEF, WFP, WHO. The State of Food Security and Nutrition in the World 2022: Repurposing food and agricultural policies to make healthy diets more affordable. FAO, IFAD, UNICEF, WFP and WHO: Rome; 2022.</w:t>
      </w:r>
    </w:p>
    <w:p w14:paraId="1087775C" w14:textId="77777777" w:rsidR="002C4495" w:rsidRPr="002C4495" w:rsidRDefault="002C4495" w:rsidP="002C4495">
      <w:pPr>
        <w:pStyle w:val="EndNoteBibliography"/>
        <w:spacing w:after="0"/>
      </w:pPr>
      <w:r w:rsidRPr="002C4495">
        <w:t>Field EM, Maffioli EM. Are behavioral change interventions needed to make cash transfer programs work for children? Experimental evidence from Myanmar. National Bureau of Economic Research; 2021.</w:t>
      </w:r>
    </w:p>
    <w:p w14:paraId="27C42BDC" w14:textId="77777777" w:rsidR="002C4495" w:rsidRPr="002C4495" w:rsidRDefault="002C4495" w:rsidP="002C4495">
      <w:pPr>
        <w:pStyle w:val="EndNoteBibliography"/>
        <w:spacing w:after="0"/>
      </w:pPr>
      <w:r w:rsidRPr="002C4495">
        <w:t>Filmer D, Friedman J, Kandpal E, Onishi J. Cash Transfers, Food Prices, and Nutrition Impacts on Ineligible Children. The Review of Economics and Statistics 2021; 1-45.</w:t>
      </w:r>
    </w:p>
    <w:p w14:paraId="2CB058B4" w14:textId="77777777" w:rsidR="002C4495" w:rsidRPr="002C4495" w:rsidRDefault="002C4495" w:rsidP="002C4495">
      <w:pPr>
        <w:pStyle w:val="EndNoteBibliography"/>
        <w:spacing w:after="0"/>
      </w:pPr>
      <w:r w:rsidRPr="002C4495">
        <w:t>Gilligan DO, Hoddinott J, Taffesse AS. The impact of Ethiopia's Productive Safety Net Programme and its linkages. The Journal of Development Studies 2009;45; 1684-1706.</w:t>
      </w:r>
    </w:p>
    <w:p w14:paraId="4CA462CF" w14:textId="77777777" w:rsidR="002C4495" w:rsidRPr="002C4495" w:rsidRDefault="002C4495" w:rsidP="002C4495">
      <w:pPr>
        <w:pStyle w:val="EndNoteBibliography"/>
        <w:spacing w:after="0"/>
      </w:pPr>
      <w:r w:rsidRPr="002C4495">
        <w:t>Golan J, Headey D, Hirvonen K, Hoddinott J. Changes in child undernutrition rates in Ethiopia, 2000-16. In: Cramer C, Cheru F, Oqubay A (Eds), The Oxford Handbook of the Ethiopian Economy. Oxford University Press: Oxford; 2019.</w:t>
      </w:r>
    </w:p>
    <w:p w14:paraId="60C286CF" w14:textId="77777777" w:rsidR="002C4495" w:rsidRPr="002C4495" w:rsidRDefault="002C4495" w:rsidP="002C4495">
      <w:pPr>
        <w:pStyle w:val="EndNoteBibliography"/>
        <w:spacing w:after="0"/>
      </w:pPr>
      <w:r w:rsidRPr="002C4495">
        <w:lastRenderedPageBreak/>
        <w:t>Han Y, Park S, Kim J, Hoddinott J. Engaging fathers through nutrition behavior communication change does not increase child dietary diversity in a cluster randomized control trial in rural Ethiopia. The Journal of Nutrition 2022;In press.</w:t>
      </w:r>
    </w:p>
    <w:p w14:paraId="0EFAB0B4" w14:textId="77777777" w:rsidR="002C4495" w:rsidRPr="002C4495" w:rsidRDefault="002C4495" w:rsidP="002C4495">
      <w:pPr>
        <w:pStyle w:val="EndNoteBibliography"/>
        <w:spacing w:after="0"/>
      </w:pPr>
      <w:r w:rsidRPr="002C4495">
        <w:t>Hidrobo M, Hoddinott J, Kumar N, Olivier M. Social Protection, Food Security, and Asset Formation. World Development 2018;101; 88-103.</w:t>
      </w:r>
    </w:p>
    <w:p w14:paraId="6F070CEC" w14:textId="77777777" w:rsidR="002C4495" w:rsidRPr="002C4495" w:rsidRDefault="002C4495" w:rsidP="002C4495">
      <w:pPr>
        <w:pStyle w:val="EndNoteBibliography"/>
        <w:spacing w:after="0"/>
      </w:pPr>
      <w:r w:rsidRPr="002C4495">
        <w:t>Hoddinott J, Berhane G, Gilligan DO, Kumar N, Taffesse AS. The impact of Ethiopia's Productive Safety Net Programme and related transfers on agricultural productivity. Journal of African Economies 2012;21; 761-786.</w:t>
      </w:r>
    </w:p>
    <w:p w14:paraId="5E9E4028" w14:textId="77777777" w:rsidR="002C4495" w:rsidRPr="002C4495" w:rsidRDefault="002C4495" w:rsidP="002C4495">
      <w:pPr>
        <w:pStyle w:val="EndNoteBibliography"/>
        <w:spacing w:after="0"/>
      </w:pPr>
      <w:r w:rsidRPr="002C4495">
        <w:t>Hoosen N, Davids EL, de Vries PJ, Shung-King M. The Strengths and Difficulties Questionnaire (SDQ) in Africa: a scoping review of its application and validation. Child and adolescent psychiatry and mental health 2018;12; 1-39.</w:t>
      </w:r>
    </w:p>
    <w:p w14:paraId="6A02C212" w14:textId="77777777" w:rsidR="002C4495" w:rsidRPr="002C4495" w:rsidRDefault="002C4495" w:rsidP="002C4495">
      <w:pPr>
        <w:pStyle w:val="EndNoteBibliography"/>
        <w:spacing w:after="0"/>
      </w:pPr>
      <w:r w:rsidRPr="002C4495">
        <w:t>King EM, Behrman JR. Timing and duration of exposure in evaluations of social programs. The World Bank Research Observer 2009;24; 55-82.</w:t>
      </w:r>
    </w:p>
    <w:p w14:paraId="57E864F8" w14:textId="77777777" w:rsidR="002C4495" w:rsidRPr="002C4495" w:rsidRDefault="002C4495" w:rsidP="002C4495">
      <w:pPr>
        <w:pStyle w:val="EndNoteBibliography"/>
        <w:spacing w:after="0"/>
      </w:pPr>
      <w:r w:rsidRPr="002C4495">
        <w:t>Leight J, Alderman H, Gilligan DO, Hidrobo M, Mulford M, Tadesse E. Barriers to adoption of optimal complementary feeding practices in Ethiopia: A formative qualitative investigation: Evidence from SPIR II. SPIR learning brief, vol. 7. International Food Policy Research Institute (IFPRI): Washington D.C.; 2023.</w:t>
      </w:r>
    </w:p>
    <w:p w14:paraId="2215B217" w14:textId="77777777" w:rsidR="002C4495" w:rsidRPr="002C4495" w:rsidRDefault="002C4495" w:rsidP="002C4495">
      <w:pPr>
        <w:pStyle w:val="EndNoteBibliography"/>
        <w:spacing w:after="0"/>
      </w:pPr>
      <w:r w:rsidRPr="002C4495">
        <w:t>Leroy JL, Olney DK, Ruel M. Evaluating nutrition-sensitive programs: challenges, methods, and opportunities. In: Covic N, Hendriks SL (Eds), Achieving a nutrition revolution for Africa: the road to healthier diets and optimal nutrition. International Food Policy Research Institute: Washington D.C.: ; 2016. p. 130-146.</w:t>
      </w:r>
    </w:p>
    <w:p w14:paraId="1D89ECE5" w14:textId="77777777" w:rsidR="002C4495" w:rsidRPr="002C4495" w:rsidRDefault="002C4495" w:rsidP="002C4495">
      <w:pPr>
        <w:pStyle w:val="EndNoteBibliography"/>
        <w:spacing w:after="0"/>
      </w:pPr>
      <w:r w:rsidRPr="002C4495">
        <w:t>Leroy JL, Ruel M, Habicht J-P, Frongillo EA. Linear growth deficit continues to accumulate beyond the first 1000 days in low-and middle-income countries: global evidence from 51 national surveys. The Journal of Nutrition 2014;144; 1460-1466.</w:t>
      </w:r>
    </w:p>
    <w:p w14:paraId="7CC124B4" w14:textId="77777777" w:rsidR="002C4495" w:rsidRPr="002C4495" w:rsidRDefault="002C4495" w:rsidP="002C4495">
      <w:pPr>
        <w:pStyle w:val="EndNoteBibliography"/>
        <w:spacing w:after="0"/>
      </w:pPr>
      <w:r w:rsidRPr="002C4495">
        <w:t>Levere M, Acharya G, Bharadwaj P. The Role of Information and Cash Transfers in Early Childhood Development: Short and Long Run Evidence from Nepal. Economic Development and Cultural Change 2022;in press.</w:t>
      </w:r>
    </w:p>
    <w:p w14:paraId="4C9C4BA0" w14:textId="77777777" w:rsidR="002C4495" w:rsidRPr="002C4495" w:rsidRDefault="002C4495" w:rsidP="002C4495">
      <w:pPr>
        <w:pStyle w:val="EndNoteBibliography"/>
        <w:spacing w:after="0"/>
      </w:pPr>
      <w:r w:rsidRPr="002C4495">
        <w:t>Liang K-Y, Zeger SL. Longitudinal data analysis using generalized linear models. Biometrika 1986;73; 13-22.</w:t>
      </w:r>
    </w:p>
    <w:p w14:paraId="469A255D" w14:textId="77777777" w:rsidR="002C4495" w:rsidRPr="002C4495" w:rsidRDefault="002C4495" w:rsidP="002C4495">
      <w:pPr>
        <w:pStyle w:val="EndNoteBibliography"/>
        <w:spacing w:after="0"/>
      </w:pPr>
      <w:r w:rsidRPr="002C4495">
        <w:t>Linnemayr S, Alderman H. Almost random: Evaluating a large-scale randomized nutrition program in the presence of crossover. Journal of Development Economics 2011;96; 106-114.</w:t>
      </w:r>
    </w:p>
    <w:p w14:paraId="24E5C72E" w14:textId="77777777" w:rsidR="002C4495" w:rsidRPr="002C4495" w:rsidRDefault="002C4495" w:rsidP="002C4495">
      <w:pPr>
        <w:pStyle w:val="EndNoteBibliography"/>
        <w:spacing w:after="0"/>
      </w:pPr>
      <w:r w:rsidRPr="002C4495">
        <w:t>Maccini S, Yang D. Under the Weather: Health, Schooling, and Economic Consequences of Early-Life Rainfall. Amer. Econ. Rev. 2009;99; 1006-1026.</w:t>
      </w:r>
    </w:p>
    <w:p w14:paraId="70E54549" w14:textId="77777777" w:rsidR="002C4495" w:rsidRPr="002C4495" w:rsidRDefault="002C4495" w:rsidP="002C4495">
      <w:pPr>
        <w:pStyle w:val="EndNoteBibliography"/>
        <w:spacing w:after="0"/>
      </w:pPr>
      <w:r w:rsidRPr="002C4495">
        <w:t>Maluccio JA. The impact of conditional cash transfers on consumption and investment in Nicaragua. The Journal of Development Studies 2010;46; 14-38.</w:t>
      </w:r>
    </w:p>
    <w:p w14:paraId="0F994B0A" w14:textId="77777777" w:rsidR="002C4495" w:rsidRPr="002C4495" w:rsidRDefault="002C4495" w:rsidP="002C4495">
      <w:pPr>
        <w:pStyle w:val="EndNoteBibliography"/>
        <w:spacing w:after="0"/>
      </w:pPr>
      <w:r w:rsidRPr="002C4495">
        <w:t>Manley J, Alderman H, Gentilini U. More evidence on cash transfers and child nutritional outcomes: a systematic review and meta-analysis. BMJ global health 2022;7; e008233.</w:t>
      </w:r>
    </w:p>
    <w:p w14:paraId="6C0A0FB3" w14:textId="77777777" w:rsidR="002C4495" w:rsidRPr="002C4495" w:rsidRDefault="002C4495" w:rsidP="002C4495">
      <w:pPr>
        <w:pStyle w:val="EndNoteBibliography"/>
        <w:spacing w:after="0"/>
      </w:pPr>
      <w:r w:rsidRPr="002C4495">
        <w:t>Manley J, Balarajan Y, Malm S, Harman L, Owens J, Murthy S, Stewart D, Winder-Rossi NE, Khurshid A. Cash transfers and child nutritional outcomes: a systematic review and meta-analysis. BMJ Global Health 2020;5; e003621.</w:t>
      </w:r>
    </w:p>
    <w:p w14:paraId="50A7BBE9" w14:textId="77777777" w:rsidR="002C4495" w:rsidRPr="002C4495" w:rsidRDefault="002C4495" w:rsidP="002C4495">
      <w:pPr>
        <w:pStyle w:val="EndNoteBibliography"/>
        <w:spacing w:after="0"/>
      </w:pPr>
      <w:r w:rsidRPr="002C4495">
        <w:t>McKenzie D. Beyond baseline and follow-up: The case for more T in experiments. Journal of Development Economics 2012;99; 210-221.</w:t>
      </w:r>
    </w:p>
    <w:p w14:paraId="21E5C547" w14:textId="77777777" w:rsidR="002C4495" w:rsidRPr="002C4495" w:rsidRDefault="002C4495" w:rsidP="002C4495">
      <w:pPr>
        <w:pStyle w:val="EndNoteBibliography"/>
        <w:spacing w:after="0"/>
      </w:pPr>
      <w:r w:rsidRPr="002C4495">
        <w:t>Moursi MM, Arimond M, Dewey KG, Trèche S, Ruel MT, Delpeuch F. Dietary diversity is a good predictor of the micronutrient density of the diet of 6-to 23-month-old children in Madagascar. The Journal of Nutrition 2008;138; 2448-2453.</w:t>
      </w:r>
    </w:p>
    <w:p w14:paraId="4A900F3D" w14:textId="77777777" w:rsidR="002C4495" w:rsidRPr="002C4495" w:rsidRDefault="002C4495" w:rsidP="002C4495">
      <w:pPr>
        <w:pStyle w:val="EndNoteBibliography"/>
        <w:spacing w:after="0"/>
      </w:pPr>
      <w:r w:rsidRPr="002C4495">
        <w:t>Perumal N, Bassani DG, Roth DE. Use and misuse of stunting as a measure of child health. The Journal of Nutrition 2018;148; 311-315.</w:t>
      </w:r>
    </w:p>
    <w:p w14:paraId="4DA7B644" w14:textId="77777777" w:rsidR="002C4495" w:rsidRPr="002C4495" w:rsidRDefault="002C4495" w:rsidP="002C4495">
      <w:pPr>
        <w:pStyle w:val="EndNoteBibliography"/>
        <w:spacing w:after="0"/>
      </w:pPr>
      <w:r w:rsidRPr="002C4495">
        <w:lastRenderedPageBreak/>
        <w:t>Premand P, Barry O. Behavioral change promotion, cash transfers and early childhood development: Experimental evidence from a government program in a low-income setting. Journal of Development Economics 2022;158; 102921.</w:t>
      </w:r>
    </w:p>
    <w:p w14:paraId="09B33EB0" w14:textId="77777777" w:rsidR="002C4495" w:rsidRPr="002C4495" w:rsidRDefault="002C4495" w:rsidP="002C4495">
      <w:pPr>
        <w:pStyle w:val="EndNoteBibliography"/>
        <w:spacing w:after="0"/>
      </w:pPr>
      <w:r w:rsidRPr="002C4495">
        <w:t>Raza WA, Van de Poel E, Van Ourti T. Impact and spill-over effects of an asset transfer program on child undernutrition: Evidence from a randomized control trial in Bangladesh. Journal of health economics 2018;62; 105-120.</w:t>
      </w:r>
    </w:p>
    <w:p w14:paraId="135C5A69" w14:textId="77777777" w:rsidR="002C4495" w:rsidRPr="002C4495" w:rsidRDefault="002C4495" w:rsidP="002C4495">
      <w:pPr>
        <w:pStyle w:val="EndNoteBibliography"/>
        <w:spacing w:after="0"/>
      </w:pPr>
      <w:r w:rsidRPr="002C4495">
        <w:t>Royston P, Altman DG, Sauerbrei W. Dichotomizing continuous predictors in multiple regression: a bad idea. Statistics in medicine 2006;25; 127-141.</w:t>
      </w:r>
    </w:p>
    <w:p w14:paraId="7011A720" w14:textId="77777777" w:rsidR="002C4495" w:rsidRPr="002C4495" w:rsidRDefault="002C4495" w:rsidP="002C4495">
      <w:pPr>
        <w:pStyle w:val="EndNoteBibliography"/>
        <w:spacing w:after="0"/>
      </w:pPr>
      <w:r w:rsidRPr="002C4495">
        <w:t>Ruel MT. Operationalizing dietary diversity: a review of measurement issues and research priorities. The Journal of Nutrition 2003;133; 3911S-3926S.</w:t>
      </w:r>
    </w:p>
    <w:p w14:paraId="303ABF63" w14:textId="77777777" w:rsidR="002C4495" w:rsidRPr="002C4495" w:rsidRDefault="002C4495" w:rsidP="002C4495">
      <w:pPr>
        <w:pStyle w:val="EndNoteBibliography"/>
        <w:spacing w:after="0"/>
      </w:pPr>
      <w:r w:rsidRPr="002C4495">
        <w:t>Ruel MT, Alderman H. Nutrition-sensitive interventions and programmes: how can they help to accelerate progress in improving maternal and child nutrition? The Lancet 2013;382; 536-551.</w:t>
      </w:r>
    </w:p>
    <w:p w14:paraId="5083DFAC" w14:textId="77777777" w:rsidR="002C4495" w:rsidRPr="002C4495" w:rsidRDefault="002C4495" w:rsidP="002C4495">
      <w:pPr>
        <w:pStyle w:val="EndNoteBibliography"/>
        <w:spacing w:after="0"/>
      </w:pPr>
      <w:r w:rsidRPr="002C4495">
        <w:t>Ruel MT, Quisumbing AR, Balagamwala M. Nutrition-sensitive agriculture: What have we learned so far? Global Food Security 2018;17; 128-153.</w:t>
      </w:r>
    </w:p>
    <w:p w14:paraId="24B8E063" w14:textId="77777777" w:rsidR="002C4495" w:rsidRPr="002C4495" w:rsidRDefault="002C4495" w:rsidP="002C4495">
      <w:pPr>
        <w:pStyle w:val="EndNoteBibliography"/>
        <w:spacing w:after="0"/>
      </w:pPr>
      <w:r w:rsidRPr="002C4495">
        <w:rPr>
          <w:rFonts w:hint="eastAsia"/>
        </w:rPr>
        <w:t>Sabates</w:t>
      </w:r>
      <w:r w:rsidRPr="002C4495">
        <w:rPr>
          <w:rFonts w:hint="eastAsia"/>
        </w:rPr>
        <w:t>‐</w:t>
      </w:r>
      <w:r w:rsidRPr="002C4495">
        <w:rPr>
          <w:rFonts w:hint="eastAsia"/>
        </w:rPr>
        <w:t>Wheeler R, Lind J, Hoddinott J, Tefera Taye M. Graduation after 10 years of Ethiopia</w:t>
      </w:r>
      <w:r w:rsidRPr="002C4495">
        <w:rPr>
          <w:rFonts w:hint="eastAsia"/>
        </w:rPr>
        <w:t>’</w:t>
      </w:r>
      <w:r w:rsidRPr="002C4495">
        <w:rPr>
          <w:rFonts w:hint="eastAsia"/>
        </w:rPr>
        <w:t>s Productive Safety Net Programme: Surviving but still not thriving. Development Policy Rev</w:t>
      </w:r>
      <w:r w:rsidRPr="002C4495">
        <w:t>iew 2021;39; 511-531.</w:t>
      </w:r>
    </w:p>
    <w:p w14:paraId="01495432" w14:textId="77777777" w:rsidR="002C4495" w:rsidRPr="002C4495" w:rsidRDefault="002C4495" w:rsidP="002C4495">
      <w:pPr>
        <w:pStyle w:val="EndNoteBibliography"/>
        <w:spacing w:after="0"/>
      </w:pPr>
      <w:r w:rsidRPr="002C4495">
        <w:t>Sahn DE, Stifel D. Exploring alternative measures of welfare in the absence of expenditure data. Rev. Income Wealth 2003;49; 463-489.</w:t>
      </w:r>
    </w:p>
    <w:p w14:paraId="43059CE4" w14:textId="77777777" w:rsidR="002C4495" w:rsidRPr="002C4495" w:rsidRDefault="002C4495" w:rsidP="002C4495">
      <w:pPr>
        <w:pStyle w:val="EndNoteBibliography"/>
        <w:spacing w:after="0"/>
      </w:pPr>
      <w:r w:rsidRPr="002C4495">
        <w:t>Shrimpton R, Victoria CG, de Onis M, Lima RC, Blossner M, Clugston G. Worldwide timing of growth faltering: Implications for nutritional interventions. Pediatrics 2001;107; art. no.-e75.</w:t>
      </w:r>
    </w:p>
    <w:p w14:paraId="250977A8" w14:textId="77777777" w:rsidR="002C4495" w:rsidRPr="002C4495" w:rsidRDefault="002C4495" w:rsidP="002C4495">
      <w:pPr>
        <w:pStyle w:val="EndNoteBibliography"/>
        <w:spacing w:after="0"/>
      </w:pPr>
      <w:r w:rsidRPr="002C4495">
        <w:t>Steyn N, Nel J, Nantel G, Kennedy G, Labadarios D. Food variety and dietary diversity scores in children: are they good indicators of dietary adequacy? Public Health Nutr. 2006;9; 644-650.</w:t>
      </w:r>
    </w:p>
    <w:p w14:paraId="71FBD56E" w14:textId="77777777" w:rsidR="002C4495" w:rsidRPr="002C4495" w:rsidRDefault="002C4495" w:rsidP="002C4495">
      <w:pPr>
        <w:pStyle w:val="EndNoteBibliography"/>
        <w:spacing w:after="0"/>
      </w:pPr>
      <w:r w:rsidRPr="002C4495">
        <w:t>Victora CG, de Onis M, Hallal PC, Blossner M, Shrimpton R. Worldwide timing of growth faltering: revisiting implications for interventions. Pediatrics 2010;125; e473-480.</w:t>
      </w:r>
    </w:p>
    <w:p w14:paraId="73690226" w14:textId="77777777" w:rsidR="002C4495" w:rsidRPr="002C4495" w:rsidRDefault="002C4495" w:rsidP="002C4495">
      <w:pPr>
        <w:pStyle w:val="EndNoteBibliography"/>
        <w:spacing w:after="0"/>
      </w:pPr>
      <w:r w:rsidRPr="002C4495">
        <w:t>Wells JC, Briend A, Boyd EM, Berkely JA, Hall A, Isanaka S, Webb P, Khara T, Dolan C. Beyond wasted and stunted—a major shift to fight child undernutrition. The Lancet Child &amp; Adolescent Health 2019.</w:t>
      </w:r>
    </w:p>
    <w:p w14:paraId="57532FF1" w14:textId="77777777" w:rsidR="002C4495" w:rsidRPr="002C4495" w:rsidRDefault="002C4495" w:rsidP="002C4495">
      <w:pPr>
        <w:pStyle w:val="EndNoteBibliography"/>
        <w:spacing w:after="0"/>
      </w:pPr>
      <w:r w:rsidRPr="002C4495">
        <w:t>WHO. WHO Child Growth Standards based on length/height, weight and age. Acta Paediatr. 2006;Suppl 450; 76-85.</w:t>
      </w:r>
    </w:p>
    <w:p w14:paraId="3A25F348" w14:textId="77777777" w:rsidR="002C4495" w:rsidRPr="002C4495" w:rsidRDefault="002C4495" w:rsidP="002C4495">
      <w:pPr>
        <w:pStyle w:val="EndNoteBibliography"/>
        <w:spacing w:after="0"/>
      </w:pPr>
      <w:r w:rsidRPr="002C4495">
        <w:t>WHO, UNICEF. Global strategy for infant and young child feeding. World Health Organization (WHO): Geneva; 2003.</w:t>
      </w:r>
    </w:p>
    <w:p w14:paraId="5A0C467D" w14:textId="77777777" w:rsidR="002C4495" w:rsidRPr="002C4495" w:rsidRDefault="002C4495" w:rsidP="002C4495">
      <w:pPr>
        <w:pStyle w:val="EndNoteBibliography"/>
        <w:spacing w:after="0"/>
      </w:pPr>
      <w:r w:rsidRPr="002C4495">
        <w:t>WHO, UNICEF. Indicators for assessing infant and young child feeding practices: definitions and measurement methods. World Health Organization (WHO) and the United Nations Children’s Fund (UNICEF): Geneva; 2021.</w:t>
      </w:r>
    </w:p>
    <w:p w14:paraId="24577068" w14:textId="77777777" w:rsidR="002C4495" w:rsidRPr="002C4495" w:rsidRDefault="002C4495" w:rsidP="002C4495">
      <w:pPr>
        <w:pStyle w:val="EndNoteBibliography"/>
      </w:pPr>
      <w:r w:rsidRPr="002C4495">
        <w:t>World Bank. The State of Social Safety Nets 2018. World Bank: Washington D.C.; 2018.</w:t>
      </w:r>
    </w:p>
    <w:p w14:paraId="7D6DD61D" w14:textId="23F90C3E" w:rsidR="00C41225" w:rsidRDefault="007B10FF" w:rsidP="00F21959">
      <w:pPr>
        <w:pStyle w:val="EndNoteBibliography"/>
        <w:rPr>
          <w:rFonts w:eastAsiaTheme="majorEastAsia" w:cstheme="majorBidi"/>
          <w:sz w:val="28"/>
          <w:szCs w:val="32"/>
        </w:rPr>
      </w:pPr>
      <w:r>
        <w:fldChar w:fldCharType="end"/>
      </w:r>
      <w:bookmarkStart w:id="68" w:name="_Toc519758692"/>
      <w:r w:rsidR="00C41225">
        <w:rPr>
          <w:b/>
        </w:rPr>
        <w:br w:type="page"/>
      </w:r>
    </w:p>
    <w:p w14:paraId="54C3DED1" w14:textId="2258B5DA" w:rsidR="007B10FF" w:rsidRDefault="007B10FF" w:rsidP="00F6389C">
      <w:pPr>
        <w:pStyle w:val="Heading1"/>
        <w:numPr>
          <w:ilvl w:val="0"/>
          <w:numId w:val="0"/>
        </w:numPr>
        <w:ind w:left="720" w:hanging="720"/>
      </w:pPr>
      <w:bookmarkStart w:id="69" w:name="_Toc126582987"/>
      <w:r w:rsidRPr="00814491">
        <w:lastRenderedPageBreak/>
        <w:t>Appendi</w:t>
      </w:r>
      <w:r w:rsidR="004271F3">
        <w:t>x</w:t>
      </w:r>
      <w:bookmarkEnd w:id="68"/>
      <w:bookmarkEnd w:id="69"/>
    </w:p>
    <w:p w14:paraId="70DD1044" w14:textId="77777777" w:rsidR="004271F3" w:rsidRPr="00BE0888" w:rsidRDefault="004271F3" w:rsidP="00BE0888">
      <w:pPr>
        <w:rPr>
          <w:b/>
          <w:bCs/>
        </w:rPr>
      </w:pPr>
      <w:r w:rsidRPr="00BE0888">
        <w:rPr>
          <w:b/>
          <w:bCs/>
        </w:rPr>
        <w:t>Table A1: Sample composition</w:t>
      </w:r>
    </w:p>
    <w:tbl>
      <w:tblPr>
        <w:tblW w:w="0" w:type="auto"/>
        <w:tblCellMar>
          <w:left w:w="144" w:type="dxa"/>
          <w:right w:w="144" w:type="dxa"/>
        </w:tblCellMar>
        <w:tblLook w:val="0000" w:firstRow="0" w:lastRow="0" w:firstColumn="0" w:lastColumn="0" w:noHBand="0" w:noVBand="0"/>
      </w:tblPr>
      <w:tblGrid>
        <w:gridCol w:w="5040"/>
        <w:gridCol w:w="1008"/>
        <w:gridCol w:w="1170"/>
      </w:tblGrid>
      <w:tr w:rsidR="000B69E2" w:rsidRPr="00497A67" w14:paraId="4741A14E" w14:textId="77777777" w:rsidTr="00C41225">
        <w:trPr>
          <w:trHeight w:val="342"/>
        </w:trPr>
        <w:tc>
          <w:tcPr>
            <w:tcW w:w="5040" w:type="dxa"/>
            <w:tcBorders>
              <w:top w:val="single" w:sz="12" w:space="0" w:color="auto"/>
              <w:left w:val="nil"/>
              <w:bottom w:val="single" w:sz="6" w:space="0" w:color="auto"/>
            </w:tcBorders>
          </w:tcPr>
          <w:p w14:paraId="6BC5E87A" w14:textId="77777777" w:rsidR="004271F3" w:rsidRPr="00AB5CD8" w:rsidRDefault="004271F3" w:rsidP="00BE0888">
            <w:pPr>
              <w:keepNext/>
              <w:keepLines/>
              <w:autoSpaceDE w:val="0"/>
              <w:autoSpaceDN w:val="0"/>
              <w:adjustRightInd w:val="0"/>
              <w:spacing w:before="0" w:after="0" w:line="240" w:lineRule="auto"/>
              <w:rPr>
                <w:rFonts w:cstheme="minorHAnsi"/>
              </w:rPr>
            </w:pPr>
          </w:p>
        </w:tc>
        <w:tc>
          <w:tcPr>
            <w:tcW w:w="1008" w:type="dxa"/>
            <w:tcBorders>
              <w:top w:val="single" w:sz="12" w:space="0" w:color="auto"/>
              <w:left w:val="nil"/>
              <w:bottom w:val="single" w:sz="6" w:space="0" w:color="auto"/>
              <w:right w:val="nil"/>
            </w:tcBorders>
            <w:vAlign w:val="center"/>
          </w:tcPr>
          <w:p w14:paraId="22748031" w14:textId="77777777" w:rsidR="004271F3" w:rsidRPr="00BE0888" w:rsidRDefault="004271F3" w:rsidP="00BE0888">
            <w:pPr>
              <w:keepNext/>
              <w:keepLines/>
              <w:autoSpaceDE w:val="0"/>
              <w:autoSpaceDN w:val="0"/>
              <w:adjustRightInd w:val="0"/>
              <w:spacing w:before="0" w:after="0" w:line="240" w:lineRule="auto"/>
              <w:jc w:val="center"/>
              <w:rPr>
                <w:rFonts w:cstheme="minorHAnsi"/>
                <w:b/>
                <w:bCs/>
              </w:rPr>
            </w:pPr>
            <w:r w:rsidRPr="00BE0888">
              <w:rPr>
                <w:rFonts w:cstheme="minorHAnsi"/>
                <w:b/>
                <w:bCs/>
              </w:rPr>
              <w:t>N</w:t>
            </w:r>
          </w:p>
        </w:tc>
        <w:tc>
          <w:tcPr>
            <w:tcW w:w="1170" w:type="dxa"/>
            <w:tcBorders>
              <w:top w:val="single" w:sz="12" w:space="0" w:color="auto"/>
              <w:left w:val="nil"/>
              <w:bottom w:val="single" w:sz="6" w:space="0" w:color="auto"/>
              <w:right w:val="nil"/>
            </w:tcBorders>
            <w:vAlign w:val="center"/>
          </w:tcPr>
          <w:p w14:paraId="6A66929E" w14:textId="0848C100" w:rsidR="004271F3" w:rsidRPr="00BE0888" w:rsidRDefault="004271F3" w:rsidP="00BE0888">
            <w:pPr>
              <w:keepNext/>
              <w:keepLines/>
              <w:autoSpaceDE w:val="0"/>
              <w:autoSpaceDN w:val="0"/>
              <w:adjustRightInd w:val="0"/>
              <w:spacing w:before="0" w:after="0" w:line="240" w:lineRule="auto"/>
              <w:jc w:val="center"/>
              <w:rPr>
                <w:rFonts w:cstheme="minorHAnsi"/>
                <w:b/>
                <w:bCs/>
              </w:rPr>
            </w:pPr>
            <w:r w:rsidRPr="00BE0888">
              <w:rPr>
                <w:rFonts w:cstheme="minorHAnsi"/>
                <w:b/>
                <w:bCs/>
              </w:rPr>
              <w:t>Percent</w:t>
            </w:r>
          </w:p>
        </w:tc>
      </w:tr>
      <w:tr w:rsidR="000B69E2" w:rsidRPr="00497A67" w14:paraId="270C8D37" w14:textId="77777777" w:rsidTr="00C41225">
        <w:tc>
          <w:tcPr>
            <w:tcW w:w="5040" w:type="dxa"/>
            <w:tcBorders>
              <w:top w:val="single" w:sz="6" w:space="0" w:color="auto"/>
              <w:left w:val="nil"/>
            </w:tcBorders>
          </w:tcPr>
          <w:p w14:paraId="1918DBE8" w14:textId="77777777" w:rsidR="004271F3" w:rsidRPr="00AB5CD8" w:rsidRDefault="004271F3" w:rsidP="00BE0888">
            <w:pPr>
              <w:keepNext/>
              <w:keepLines/>
              <w:autoSpaceDE w:val="0"/>
              <w:autoSpaceDN w:val="0"/>
              <w:adjustRightInd w:val="0"/>
              <w:spacing w:before="0" w:after="0" w:line="240" w:lineRule="auto"/>
              <w:rPr>
                <w:rFonts w:cstheme="minorHAnsi"/>
              </w:rPr>
            </w:pPr>
            <w:r w:rsidRPr="00AB5CD8">
              <w:rPr>
                <w:rFonts w:cstheme="minorHAnsi"/>
              </w:rPr>
              <w:t>Region</w:t>
            </w:r>
          </w:p>
        </w:tc>
        <w:tc>
          <w:tcPr>
            <w:tcW w:w="1008" w:type="dxa"/>
            <w:tcBorders>
              <w:top w:val="single" w:sz="6" w:space="0" w:color="auto"/>
              <w:left w:val="nil"/>
              <w:right w:val="nil"/>
            </w:tcBorders>
            <w:vAlign w:val="center"/>
          </w:tcPr>
          <w:p w14:paraId="69B91FEE"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p>
        </w:tc>
        <w:tc>
          <w:tcPr>
            <w:tcW w:w="1170" w:type="dxa"/>
            <w:tcBorders>
              <w:top w:val="single" w:sz="6" w:space="0" w:color="auto"/>
              <w:left w:val="nil"/>
              <w:right w:val="nil"/>
            </w:tcBorders>
            <w:vAlign w:val="center"/>
          </w:tcPr>
          <w:p w14:paraId="7E0AE6B1"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p>
        </w:tc>
      </w:tr>
      <w:tr w:rsidR="000B69E2" w:rsidRPr="00497A67" w14:paraId="4D6FA7B8" w14:textId="77777777" w:rsidTr="00C41225">
        <w:tc>
          <w:tcPr>
            <w:tcW w:w="5040" w:type="dxa"/>
            <w:tcBorders>
              <w:left w:val="nil"/>
              <w:bottom w:val="nil"/>
            </w:tcBorders>
          </w:tcPr>
          <w:p w14:paraId="72213197" w14:textId="77777777" w:rsidR="004271F3" w:rsidRPr="00AB5CD8" w:rsidRDefault="004271F3" w:rsidP="00BE0888">
            <w:pPr>
              <w:keepNext/>
              <w:keepLines/>
              <w:autoSpaceDE w:val="0"/>
              <w:autoSpaceDN w:val="0"/>
              <w:adjustRightInd w:val="0"/>
              <w:spacing w:before="0" w:after="0" w:line="240" w:lineRule="auto"/>
              <w:ind w:left="372"/>
              <w:rPr>
                <w:rFonts w:cstheme="minorHAnsi"/>
              </w:rPr>
            </w:pPr>
            <w:r w:rsidRPr="00AB5CD8">
              <w:rPr>
                <w:rFonts w:cstheme="minorHAnsi"/>
              </w:rPr>
              <w:t>Amhara</w:t>
            </w:r>
          </w:p>
        </w:tc>
        <w:tc>
          <w:tcPr>
            <w:tcW w:w="1008" w:type="dxa"/>
            <w:tcBorders>
              <w:left w:val="nil"/>
              <w:bottom w:val="nil"/>
              <w:right w:val="nil"/>
            </w:tcBorders>
            <w:vAlign w:val="center"/>
          </w:tcPr>
          <w:p w14:paraId="7E786CEF"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r w:rsidRPr="00AB5CD8">
              <w:rPr>
                <w:rFonts w:cstheme="minorHAnsi"/>
              </w:rPr>
              <w:t>3,015</w:t>
            </w:r>
          </w:p>
        </w:tc>
        <w:tc>
          <w:tcPr>
            <w:tcW w:w="1170" w:type="dxa"/>
            <w:tcBorders>
              <w:left w:val="nil"/>
              <w:bottom w:val="nil"/>
              <w:right w:val="nil"/>
            </w:tcBorders>
            <w:vAlign w:val="center"/>
          </w:tcPr>
          <w:p w14:paraId="6CF80023"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r w:rsidRPr="00AB5CD8">
              <w:rPr>
                <w:rFonts w:cstheme="minorHAnsi"/>
              </w:rPr>
              <w:t>34.43</w:t>
            </w:r>
          </w:p>
        </w:tc>
      </w:tr>
      <w:tr w:rsidR="000B69E2" w:rsidRPr="00497A67" w14:paraId="3424D0EF" w14:textId="77777777" w:rsidTr="00C41225">
        <w:tc>
          <w:tcPr>
            <w:tcW w:w="5040" w:type="dxa"/>
            <w:tcBorders>
              <w:top w:val="nil"/>
              <w:left w:val="nil"/>
              <w:bottom w:val="nil"/>
            </w:tcBorders>
          </w:tcPr>
          <w:p w14:paraId="4A21AD1F" w14:textId="77777777" w:rsidR="004271F3" w:rsidRPr="00AB5CD8" w:rsidRDefault="004271F3" w:rsidP="00BE0888">
            <w:pPr>
              <w:keepNext/>
              <w:keepLines/>
              <w:autoSpaceDE w:val="0"/>
              <w:autoSpaceDN w:val="0"/>
              <w:adjustRightInd w:val="0"/>
              <w:spacing w:before="0" w:after="0" w:line="240" w:lineRule="auto"/>
              <w:ind w:left="372"/>
              <w:rPr>
                <w:rFonts w:cstheme="minorHAnsi"/>
              </w:rPr>
            </w:pPr>
            <w:r w:rsidRPr="00AB5CD8">
              <w:rPr>
                <w:rFonts w:cstheme="minorHAnsi"/>
              </w:rPr>
              <w:t>Oromia</w:t>
            </w:r>
          </w:p>
        </w:tc>
        <w:tc>
          <w:tcPr>
            <w:tcW w:w="1008" w:type="dxa"/>
            <w:tcBorders>
              <w:top w:val="nil"/>
              <w:left w:val="nil"/>
              <w:bottom w:val="nil"/>
              <w:right w:val="nil"/>
            </w:tcBorders>
            <w:vAlign w:val="center"/>
          </w:tcPr>
          <w:p w14:paraId="08FB5BA1"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r w:rsidRPr="00AB5CD8">
              <w:rPr>
                <w:rFonts w:cstheme="minorHAnsi"/>
              </w:rPr>
              <w:t>3,015</w:t>
            </w:r>
          </w:p>
        </w:tc>
        <w:tc>
          <w:tcPr>
            <w:tcW w:w="1170" w:type="dxa"/>
            <w:tcBorders>
              <w:top w:val="nil"/>
              <w:left w:val="nil"/>
              <w:bottom w:val="nil"/>
              <w:right w:val="nil"/>
            </w:tcBorders>
            <w:vAlign w:val="center"/>
          </w:tcPr>
          <w:p w14:paraId="2DF6D481"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r w:rsidRPr="00AB5CD8">
              <w:rPr>
                <w:rFonts w:cstheme="minorHAnsi"/>
              </w:rPr>
              <w:t>65.57</w:t>
            </w:r>
          </w:p>
        </w:tc>
      </w:tr>
      <w:tr w:rsidR="000B69E2" w:rsidRPr="00497A67" w14:paraId="0556743A" w14:textId="77777777" w:rsidTr="00C41225">
        <w:tc>
          <w:tcPr>
            <w:tcW w:w="5040" w:type="dxa"/>
            <w:tcBorders>
              <w:top w:val="nil"/>
              <w:left w:val="nil"/>
              <w:bottom w:val="nil"/>
            </w:tcBorders>
          </w:tcPr>
          <w:p w14:paraId="387046E9" w14:textId="77777777" w:rsidR="004271F3" w:rsidRPr="00AB5CD8" w:rsidRDefault="004271F3" w:rsidP="00BE0888">
            <w:pPr>
              <w:keepNext/>
              <w:keepLines/>
              <w:autoSpaceDE w:val="0"/>
              <w:autoSpaceDN w:val="0"/>
              <w:adjustRightInd w:val="0"/>
              <w:spacing w:before="0" w:after="0" w:line="240" w:lineRule="auto"/>
              <w:rPr>
                <w:rFonts w:cstheme="minorHAnsi"/>
              </w:rPr>
            </w:pPr>
            <w:r w:rsidRPr="00AB5CD8">
              <w:rPr>
                <w:rFonts w:cstheme="minorHAnsi"/>
              </w:rPr>
              <w:t>Pregnancy/age of child status</w:t>
            </w:r>
          </w:p>
        </w:tc>
        <w:tc>
          <w:tcPr>
            <w:tcW w:w="1008" w:type="dxa"/>
            <w:tcBorders>
              <w:top w:val="nil"/>
              <w:left w:val="nil"/>
              <w:bottom w:val="nil"/>
              <w:right w:val="nil"/>
            </w:tcBorders>
            <w:vAlign w:val="center"/>
          </w:tcPr>
          <w:p w14:paraId="465D2B4A"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p>
        </w:tc>
        <w:tc>
          <w:tcPr>
            <w:tcW w:w="1170" w:type="dxa"/>
            <w:tcBorders>
              <w:top w:val="nil"/>
              <w:left w:val="nil"/>
              <w:bottom w:val="nil"/>
              <w:right w:val="nil"/>
            </w:tcBorders>
            <w:vAlign w:val="center"/>
          </w:tcPr>
          <w:p w14:paraId="7F529D21"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p>
        </w:tc>
      </w:tr>
      <w:tr w:rsidR="000B69E2" w:rsidRPr="00497A67" w14:paraId="404C203C" w14:textId="77777777" w:rsidTr="00C41225">
        <w:tc>
          <w:tcPr>
            <w:tcW w:w="5040" w:type="dxa"/>
            <w:tcBorders>
              <w:top w:val="nil"/>
              <w:left w:val="nil"/>
              <w:bottom w:val="nil"/>
            </w:tcBorders>
          </w:tcPr>
          <w:p w14:paraId="350604A2" w14:textId="77777777" w:rsidR="004271F3" w:rsidRPr="00AB5CD8" w:rsidRDefault="004271F3" w:rsidP="00BE0888">
            <w:pPr>
              <w:keepNext/>
              <w:keepLines/>
              <w:autoSpaceDE w:val="0"/>
              <w:autoSpaceDN w:val="0"/>
              <w:adjustRightInd w:val="0"/>
              <w:spacing w:before="0" w:after="0" w:line="240" w:lineRule="auto"/>
              <w:ind w:left="372"/>
              <w:rPr>
                <w:rFonts w:cstheme="minorHAnsi"/>
              </w:rPr>
            </w:pPr>
            <w:r w:rsidRPr="00AB5CD8">
              <w:rPr>
                <w:rFonts w:cstheme="minorHAnsi"/>
              </w:rPr>
              <w:t>Currently pregnant</w:t>
            </w:r>
          </w:p>
        </w:tc>
        <w:tc>
          <w:tcPr>
            <w:tcW w:w="1008" w:type="dxa"/>
            <w:tcBorders>
              <w:top w:val="nil"/>
              <w:left w:val="nil"/>
              <w:bottom w:val="nil"/>
              <w:right w:val="nil"/>
            </w:tcBorders>
            <w:vAlign w:val="center"/>
          </w:tcPr>
          <w:p w14:paraId="42EC8661"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r w:rsidRPr="00AB5CD8">
              <w:rPr>
                <w:rFonts w:cstheme="minorHAnsi"/>
              </w:rPr>
              <w:t>3,015</w:t>
            </w:r>
          </w:p>
        </w:tc>
        <w:tc>
          <w:tcPr>
            <w:tcW w:w="1170" w:type="dxa"/>
            <w:tcBorders>
              <w:top w:val="nil"/>
              <w:left w:val="nil"/>
              <w:bottom w:val="nil"/>
              <w:right w:val="nil"/>
            </w:tcBorders>
            <w:vAlign w:val="center"/>
          </w:tcPr>
          <w:p w14:paraId="06EC14AD"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r w:rsidRPr="00AB5CD8">
              <w:rPr>
                <w:rFonts w:cstheme="minorHAnsi"/>
              </w:rPr>
              <w:t>53.33</w:t>
            </w:r>
          </w:p>
        </w:tc>
      </w:tr>
      <w:tr w:rsidR="000B69E2" w:rsidRPr="00497A67" w14:paraId="0D97447A" w14:textId="77777777" w:rsidTr="00C41225">
        <w:tc>
          <w:tcPr>
            <w:tcW w:w="5040" w:type="dxa"/>
            <w:tcBorders>
              <w:top w:val="nil"/>
              <w:left w:val="nil"/>
              <w:bottom w:val="nil"/>
            </w:tcBorders>
          </w:tcPr>
          <w:p w14:paraId="5CE99454" w14:textId="77777777" w:rsidR="004271F3" w:rsidRPr="00AB5CD8" w:rsidRDefault="004271F3" w:rsidP="00BE0888">
            <w:pPr>
              <w:keepNext/>
              <w:keepLines/>
              <w:autoSpaceDE w:val="0"/>
              <w:autoSpaceDN w:val="0"/>
              <w:adjustRightInd w:val="0"/>
              <w:spacing w:before="0" w:after="0" w:line="240" w:lineRule="auto"/>
              <w:ind w:left="372"/>
              <w:rPr>
                <w:rFonts w:cstheme="minorHAnsi"/>
              </w:rPr>
            </w:pPr>
            <w:r w:rsidRPr="00AB5CD8">
              <w:rPr>
                <w:rFonts w:cstheme="minorHAnsi"/>
              </w:rPr>
              <w:t>Child is 0</w:t>
            </w:r>
            <w:r>
              <w:rPr>
                <w:rFonts w:cstheme="minorHAnsi"/>
              </w:rPr>
              <w:t>-</w:t>
            </w:r>
            <w:r w:rsidRPr="00AB5CD8">
              <w:rPr>
                <w:rFonts w:cstheme="minorHAnsi"/>
              </w:rPr>
              <w:t>3 months old</w:t>
            </w:r>
          </w:p>
        </w:tc>
        <w:tc>
          <w:tcPr>
            <w:tcW w:w="1008" w:type="dxa"/>
            <w:tcBorders>
              <w:top w:val="nil"/>
              <w:left w:val="nil"/>
              <w:bottom w:val="nil"/>
              <w:right w:val="nil"/>
            </w:tcBorders>
            <w:vAlign w:val="center"/>
          </w:tcPr>
          <w:p w14:paraId="07EC3ABA"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r w:rsidRPr="00AB5CD8">
              <w:rPr>
                <w:rFonts w:cstheme="minorHAnsi"/>
              </w:rPr>
              <w:t>3,015</w:t>
            </w:r>
          </w:p>
        </w:tc>
        <w:tc>
          <w:tcPr>
            <w:tcW w:w="1170" w:type="dxa"/>
            <w:tcBorders>
              <w:top w:val="nil"/>
              <w:left w:val="nil"/>
              <w:bottom w:val="nil"/>
              <w:right w:val="nil"/>
            </w:tcBorders>
            <w:vAlign w:val="center"/>
          </w:tcPr>
          <w:p w14:paraId="0C95ADBE"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r w:rsidRPr="00AB5CD8">
              <w:rPr>
                <w:rFonts w:cstheme="minorHAnsi"/>
              </w:rPr>
              <w:t>19.97</w:t>
            </w:r>
          </w:p>
        </w:tc>
      </w:tr>
      <w:tr w:rsidR="000B69E2" w:rsidRPr="00497A67" w14:paraId="1467C0AC" w14:textId="77777777" w:rsidTr="00C41225">
        <w:tc>
          <w:tcPr>
            <w:tcW w:w="5040" w:type="dxa"/>
            <w:tcBorders>
              <w:top w:val="nil"/>
              <w:left w:val="nil"/>
              <w:bottom w:val="nil"/>
            </w:tcBorders>
          </w:tcPr>
          <w:p w14:paraId="0A08FA9E" w14:textId="77777777" w:rsidR="004271F3" w:rsidRPr="00AB5CD8" w:rsidRDefault="004271F3" w:rsidP="00BE0888">
            <w:pPr>
              <w:keepNext/>
              <w:keepLines/>
              <w:autoSpaceDE w:val="0"/>
              <w:autoSpaceDN w:val="0"/>
              <w:adjustRightInd w:val="0"/>
              <w:spacing w:before="0" w:after="0" w:line="240" w:lineRule="auto"/>
              <w:ind w:left="372"/>
              <w:rPr>
                <w:rFonts w:cstheme="minorHAnsi"/>
              </w:rPr>
            </w:pPr>
            <w:r w:rsidRPr="00AB5CD8">
              <w:rPr>
                <w:rFonts w:cstheme="minorHAnsi"/>
              </w:rPr>
              <w:t>Child is 4-6 months old</w:t>
            </w:r>
          </w:p>
        </w:tc>
        <w:tc>
          <w:tcPr>
            <w:tcW w:w="1008" w:type="dxa"/>
            <w:tcBorders>
              <w:top w:val="nil"/>
              <w:left w:val="nil"/>
              <w:bottom w:val="nil"/>
              <w:right w:val="nil"/>
            </w:tcBorders>
            <w:vAlign w:val="center"/>
          </w:tcPr>
          <w:p w14:paraId="15832C5C"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r w:rsidRPr="00AB5CD8">
              <w:rPr>
                <w:rFonts w:cstheme="minorHAnsi"/>
              </w:rPr>
              <w:t>3,015</w:t>
            </w:r>
          </w:p>
        </w:tc>
        <w:tc>
          <w:tcPr>
            <w:tcW w:w="1170" w:type="dxa"/>
            <w:tcBorders>
              <w:top w:val="nil"/>
              <w:left w:val="nil"/>
              <w:bottom w:val="nil"/>
              <w:right w:val="nil"/>
            </w:tcBorders>
            <w:vAlign w:val="center"/>
          </w:tcPr>
          <w:p w14:paraId="6449784C"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r w:rsidRPr="00AB5CD8">
              <w:rPr>
                <w:rFonts w:cstheme="minorHAnsi"/>
              </w:rPr>
              <w:t>14.49</w:t>
            </w:r>
          </w:p>
        </w:tc>
      </w:tr>
      <w:tr w:rsidR="000B69E2" w:rsidRPr="00497A67" w14:paraId="2BE61A59" w14:textId="77777777" w:rsidTr="00C41225">
        <w:tc>
          <w:tcPr>
            <w:tcW w:w="5040" w:type="dxa"/>
            <w:tcBorders>
              <w:top w:val="nil"/>
              <w:left w:val="nil"/>
              <w:bottom w:val="single" w:sz="12" w:space="0" w:color="auto"/>
            </w:tcBorders>
          </w:tcPr>
          <w:p w14:paraId="112CF856" w14:textId="77777777" w:rsidR="004271F3" w:rsidRPr="00AB5CD8" w:rsidRDefault="004271F3" w:rsidP="00BE0888">
            <w:pPr>
              <w:keepNext/>
              <w:keepLines/>
              <w:autoSpaceDE w:val="0"/>
              <w:autoSpaceDN w:val="0"/>
              <w:adjustRightInd w:val="0"/>
              <w:spacing w:before="0" w:after="0" w:line="240" w:lineRule="auto"/>
              <w:ind w:left="372"/>
              <w:rPr>
                <w:rFonts w:cstheme="minorHAnsi"/>
              </w:rPr>
            </w:pPr>
            <w:r w:rsidRPr="00AB5CD8">
              <w:rPr>
                <w:rFonts w:cstheme="minorHAnsi"/>
              </w:rPr>
              <w:t>Child is 7-9 months old</w:t>
            </w:r>
          </w:p>
        </w:tc>
        <w:tc>
          <w:tcPr>
            <w:tcW w:w="1008" w:type="dxa"/>
            <w:tcBorders>
              <w:top w:val="nil"/>
              <w:left w:val="nil"/>
              <w:bottom w:val="single" w:sz="12" w:space="0" w:color="auto"/>
              <w:right w:val="nil"/>
            </w:tcBorders>
            <w:vAlign w:val="center"/>
          </w:tcPr>
          <w:p w14:paraId="053FC68D" w14:textId="77777777" w:rsidR="004271F3" w:rsidRPr="00AB5CD8" w:rsidRDefault="004271F3" w:rsidP="00BE0888">
            <w:pPr>
              <w:keepNext/>
              <w:keepLines/>
              <w:tabs>
                <w:tab w:val="decimal" w:pos="538"/>
              </w:tabs>
              <w:autoSpaceDE w:val="0"/>
              <w:autoSpaceDN w:val="0"/>
              <w:adjustRightInd w:val="0"/>
              <w:spacing w:before="0" w:after="0" w:line="240" w:lineRule="auto"/>
              <w:jc w:val="center"/>
              <w:rPr>
                <w:rFonts w:cstheme="minorHAnsi"/>
              </w:rPr>
            </w:pPr>
            <w:r w:rsidRPr="00AB5CD8">
              <w:rPr>
                <w:rFonts w:cstheme="minorHAnsi"/>
              </w:rPr>
              <w:t>3,015</w:t>
            </w:r>
          </w:p>
        </w:tc>
        <w:tc>
          <w:tcPr>
            <w:tcW w:w="1170" w:type="dxa"/>
            <w:tcBorders>
              <w:top w:val="nil"/>
              <w:left w:val="nil"/>
              <w:bottom w:val="single" w:sz="12" w:space="0" w:color="auto"/>
              <w:right w:val="nil"/>
            </w:tcBorders>
            <w:vAlign w:val="center"/>
          </w:tcPr>
          <w:p w14:paraId="7AB0B163" w14:textId="77777777" w:rsidR="004271F3" w:rsidRPr="00AB5CD8" w:rsidRDefault="004271F3" w:rsidP="00BE0888">
            <w:pPr>
              <w:keepNext/>
              <w:keepLines/>
              <w:tabs>
                <w:tab w:val="decimal" w:pos="354"/>
              </w:tabs>
              <w:autoSpaceDE w:val="0"/>
              <w:autoSpaceDN w:val="0"/>
              <w:adjustRightInd w:val="0"/>
              <w:spacing w:before="0" w:after="0" w:line="240" w:lineRule="auto"/>
              <w:jc w:val="center"/>
              <w:rPr>
                <w:rFonts w:cstheme="minorHAnsi"/>
              </w:rPr>
            </w:pPr>
            <w:r w:rsidRPr="00AB5CD8">
              <w:rPr>
                <w:rFonts w:cstheme="minorHAnsi"/>
              </w:rPr>
              <w:t>13.10</w:t>
            </w:r>
          </w:p>
        </w:tc>
      </w:tr>
    </w:tbl>
    <w:p w14:paraId="2EC7EE3F" w14:textId="5C0D0DD6" w:rsidR="00434ABA" w:rsidRDefault="00434ABA" w:rsidP="00434ABA"/>
    <w:p w14:paraId="76CA004D" w14:textId="77B1C79D" w:rsidR="00C41225" w:rsidRPr="00B815A1" w:rsidRDefault="00C41225" w:rsidP="00C41225">
      <w:pPr>
        <w:rPr>
          <w:b/>
          <w:bCs/>
        </w:rPr>
      </w:pPr>
      <w:r w:rsidRPr="00B815A1">
        <w:rPr>
          <w:b/>
          <w:bCs/>
        </w:rPr>
        <w:t>Table A2: Household demographic characteristics</w:t>
      </w:r>
      <w:r w:rsidR="005F78E4">
        <w:rPr>
          <w:b/>
          <w:bCs/>
        </w:rPr>
        <w:t xml:space="preserve"> (N = 3,015 households)</w:t>
      </w:r>
    </w:p>
    <w:tbl>
      <w:tblPr>
        <w:tblW w:w="0" w:type="auto"/>
        <w:tblCellMar>
          <w:left w:w="144" w:type="dxa"/>
          <w:right w:w="144" w:type="dxa"/>
        </w:tblCellMar>
        <w:tblLook w:val="0000" w:firstRow="0" w:lastRow="0" w:firstColumn="0" w:lastColumn="0" w:noHBand="0" w:noVBand="0"/>
      </w:tblPr>
      <w:tblGrid>
        <w:gridCol w:w="6371"/>
        <w:gridCol w:w="1236"/>
      </w:tblGrid>
      <w:tr w:rsidR="005F78E4" w:rsidRPr="00497A67" w14:paraId="4F98E9B2" w14:textId="77777777" w:rsidTr="002360CF">
        <w:trPr>
          <w:trHeight w:val="259"/>
        </w:trPr>
        <w:tc>
          <w:tcPr>
            <w:tcW w:w="6371" w:type="dxa"/>
            <w:tcBorders>
              <w:top w:val="single" w:sz="12" w:space="0" w:color="auto"/>
              <w:left w:val="nil"/>
              <w:bottom w:val="nil"/>
              <w:right w:val="nil"/>
            </w:tcBorders>
          </w:tcPr>
          <w:p w14:paraId="3E7A8D9F" w14:textId="77777777" w:rsidR="005F78E4" w:rsidRPr="00497A67" w:rsidRDefault="005F78E4" w:rsidP="002360CF">
            <w:pPr>
              <w:keepNext/>
              <w:keepLines/>
              <w:autoSpaceDE w:val="0"/>
              <w:autoSpaceDN w:val="0"/>
              <w:adjustRightInd w:val="0"/>
              <w:spacing w:before="0" w:after="0" w:line="240" w:lineRule="auto"/>
              <w:rPr>
                <w:rFonts w:cstheme="minorHAnsi"/>
              </w:rPr>
            </w:pPr>
          </w:p>
        </w:tc>
        <w:tc>
          <w:tcPr>
            <w:tcW w:w="1236" w:type="dxa"/>
            <w:tcBorders>
              <w:top w:val="single" w:sz="12" w:space="0" w:color="auto"/>
              <w:left w:val="nil"/>
              <w:bottom w:val="nil"/>
              <w:right w:val="nil"/>
            </w:tcBorders>
          </w:tcPr>
          <w:p w14:paraId="254B2A0D" w14:textId="77777777" w:rsidR="005F78E4" w:rsidRPr="00B815A1" w:rsidRDefault="005F78E4" w:rsidP="002360CF">
            <w:pPr>
              <w:keepNext/>
              <w:keepLines/>
              <w:autoSpaceDE w:val="0"/>
              <w:autoSpaceDN w:val="0"/>
              <w:adjustRightInd w:val="0"/>
              <w:spacing w:before="0" w:after="0" w:line="240" w:lineRule="auto"/>
              <w:jc w:val="center"/>
              <w:rPr>
                <w:rFonts w:cstheme="minorHAnsi"/>
                <w:b/>
                <w:bCs/>
              </w:rPr>
            </w:pPr>
            <w:r w:rsidRPr="00B815A1">
              <w:rPr>
                <w:rFonts w:cstheme="minorHAnsi"/>
                <w:b/>
                <w:bCs/>
              </w:rPr>
              <w:t>Mean</w:t>
            </w:r>
          </w:p>
        </w:tc>
      </w:tr>
      <w:tr w:rsidR="005F78E4" w:rsidRPr="004D271B" w14:paraId="4F1CC874" w14:textId="77777777" w:rsidTr="002360CF">
        <w:trPr>
          <w:trHeight w:val="259"/>
        </w:trPr>
        <w:tc>
          <w:tcPr>
            <w:tcW w:w="6371" w:type="dxa"/>
            <w:tcBorders>
              <w:top w:val="nil"/>
              <w:left w:val="nil"/>
              <w:bottom w:val="nil"/>
              <w:right w:val="nil"/>
            </w:tcBorders>
          </w:tcPr>
          <w:p w14:paraId="46179A59"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Household size</w:t>
            </w:r>
          </w:p>
        </w:tc>
        <w:tc>
          <w:tcPr>
            <w:tcW w:w="1236" w:type="dxa"/>
            <w:tcBorders>
              <w:top w:val="nil"/>
              <w:left w:val="nil"/>
              <w:bottom w:val="nil"/>
              <w:right w:val="nil"/>
            </w:tcBorders>
          </w:tcPr>
          <w:p w14:paraId="32DC790D"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5.394</w:t>
            </w:r>
          </w:p>
        </w:tc>
      </w:tr>
      <w:tr w:rsidR="005F78E4" w:rsidRPr="004D271B" w14:paraId="247CAB36" w14:textId="77777777" w:rsidTr="002360CF">
        <w:trPr>
          <w:trHeight w:val="247"/>
        </w:trPr>
        <w:tc>
          <w:tcPr>
            <w:tcW w:w="6371" w:type="dxa"/>
            <w:tcBorders>
              <w:top w:val="nil"/>
              <w:left w:val="nil"/>
              <w:bottom w:val="nil"/>
              <w:right w:val="nil"/>
            </w:tcBorders>
          </w:tcPr>
          <w:p w14:paraId="1E42F717"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Male headed household</w:t>
            </w:r>
          </w:p>
        </w:tc>
        <w:tc>
          <w:tcPr>
            <w:tcW w:w="1236" w:type="dxa"/>
            <w:tcBorders>
              <w:top w:val="nil"/>
              <w:left w:val="nil"/>
              <w:bottom w:val="nil"/>
              <w:right w:val="nil"/>
            </w:tcBorders>
          </w:tcPr>
          <w:p w14:paraId="52125611"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0.887</w:t>
            </w:r>
          </w:p>
        </w:tc>
      </w:tr>
      <w:tr w:rsidR="005F78E4" w:rsidRPr="004D271B" w14:paraId="6EE49562" w14:textId="77777777" w:rsidTr="002360CF">
        <w:trPr>
          <w:trHeight w:val="259"/>
        </w:trPr>
        <w:tc>
          <w:tcPr>
            <w:tcW w:w="6371" w:type="dxa"/>
            <w:tcBorders>
              <w:top w:val="nil"/>
              <w:left w:val="nil"/>
              <w:bottom w:val="nil"/>
              <w:right w:val="nil"/>
            </w:tcBorders>
          </w:tcPr>
          <w:p w14:paraId="5DC0F2B5"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Household head's age</w:t>
            </w:r>
          </w:p>
        </w:tc>
        <w:tc>
          <w:tcPr>
            <w:tcW w:w="1236" w:type="dxa"/>
            <w:tcBorders>
              <w:top w:val="nil"/>
              <w:left w:val="nil"/>
              <w:bottom w:val="nil"/>
              <w:right w:val="nil"/>
            </w:tcBorders>
          </w:tcPr>
          <w:p w14:paraId="08A9A326" w14:textId="547496FF"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35.</w:t>
            </w:r>
            <w:r>
              <w:rPr>
                <w:rFonts w:cstheme="minorHAnsi"/>
              </w:rPr>
              <w:t>40</w:t>
            </w:r>
          </w:p>
        </w:tc>
      </w:tr>
      <w:tr w:rsidR="005F78E4" w:rsidRPr="004D271B" w14:paraId="0B984B51" w14:textId="77777777" w:rsidTr="002360CF">
        <w:trPr>
          <w:trHeight w:val="259"/>
        </w:trPr>
        <w:tc>
          <w:tcPr>
            <w:tcW w:w="6371" w:type="dxa"/>
            <w:tcBorders>
              <w:top w:val="nil"/>
              <w:left w:val="nil"/>
              <w:bottom w:val="nil"/>
              <w:right w:val="nil"/>
            </w:tcBorders>
          </w:tcPr>
          <w:p w14:paraId="5243D3BA"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Household head has some formal education</w:t>
            </w:r>
          </w:p>
        </w:tc>
        <w:tc>
          <w:tcPr>
            <w:tcW w:w="1236" w:type="dxa"/>
            <w:tcBorders>
              <w:top w:val="nil"/>
              <w:left w:val="nil"/>
              <w:bottom w:val="nil"/>
              <w:right w:val="nil"/>
            </w:tcBorders>
          </w:tcPr>
          <w:p w14:paraId="1AAD7619"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0.523</w:t>
            </w:r>
          </w:p>
        </w:tc>
      </w:tr>
      <w:tr w:rsidR="005F78E4" w:rsidRPr="004D271B" w14:paraId="517F987C" w14:textId="77777777" w:rsidTr="002360CF">
        <w:trPr>
          <w:trHeight w:val="259"/>
        </w:trPr>
        <w:tc>
          <w:tcPr>
            <w:tcW w:w="6371" w:type="dxa"/>
            <w:tcBorders>
              <w:top w:val="nil"/>
              <w:left w:val="nil"/>
              <w:bottom w:val="nil"/>
              <w:right w:val="nil"/>
            </w:tcBorders>
          </w:tcPr>
          <w:p w14:paraId="6C8E18AC"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 xml:space="preserve">Household head's main occupation is </w:t>
            </w:r>
            <w:proofErr w:type="gramStart"/>
            <w:r w:rsidRPr="004D271B">
              <w:rPr>
                <w:rFonts w:cstheme="minorHAnsi"/>
              </w:rPr>
              <w:t>crop</w:t>
            </w:r>
            <w:proofErr w:type="gramEnd"/>
            <w:r w:rsidRPr="004D271B">
              <w:rPr>
                <w:rFonts w:cstheme="minorHAnsi"/>
              </w:rPr>
              <w:t xml:space="preserve"> production</w:t>
            </w:r>
          </w:p>
        </w:tc>
        <w:tc>
          <w:tcPr>
            <w:tcW w:w="1236" w:type="dxa"/>
            <w:tcBorders>
              <w:top w:val="nil"/>
              <w:left w:val="nil"/>
              <w:bottom w:val="nil"/>
              <w:right w:val="nil"/>
            </w:tcBorders>
          </w:tcPr>
          <w:p w14:paraId="42159846"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0.868</w:t>
            </w:r>
          </w:p>
        </w:tc>
      </w:tr>
      <w:tr w:rsidR="005F78E4" w:rsidRPr="004D271B" w14:paraId="2E84836B" w14:textId="77777777" w:rsidTr="002360CF">
        <w:trPr>
          <w:trHeight w:val="259"/>
        </w:trPr>
        <w:tc>
          <w:tcPr>
            <w:tcW w:w="6371" w:type="dxa"/>
            <w:tcBorders>
              <w:top w:val="nil"/>
              <w:left w:val="nil"/>
              <w:bottom w:val="nil"/>
              <w:right w:val="nil"/>
            </w:tcBorders>
          </w:tcPr>
          <w:p w14:paraId="2709ABD5"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Household head is married</w:t>
            </w:r>
          </w:p>
        </w:tc>
        <w:tc>
          <w:tcPr>
            <w:tcW w:w="1236" w:type="dxa"/>
            <w:tcBorders>
              <w:top w:val="nil"/>
              <w:left w:val="nil"/>
              <w:bottom w:val="nil"/>
              <w:right w:val="nil"/>
            </w:tcBorders>
          </w:tcPr>
          <w:p w14:paraId="7D2278E2"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0.932</w:t>
            </w:r>
          </w:p>
        </w:tc>
      </w:tr>
      <w:tr w:rsidR="005F78E4" w:rsidRPr="004D271B" w14:paraId="355E205C" w14:textId="77777777" w:rsidTr="002360CF">
        <w:trPr>
          <w:trHeight w:val="259"/>
        </w:trPr>
        <w:tc>
          <w:tcPr>
            <w:tcW w:w="6371" w:type="dxa"/>
            <w:tcBorders>
              <w:top w:val="nil"/>
              <w:left w:val="nil"/>
              <w:bottom w:val="nil"/>
              <w:right w:val="nil"/>
            </w:tcBorders>
          </w:tcPr>
          <w:p w14:paraId="2CB26987"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Primary female's age</w:t>
            </w:r>
          </w:p>
        </w:tc>
        <w:tc>
          <w:tcPr>
            <w:tcW w:w="1236" w:type="dxa"/>
            <w:tcBorders>
              <w:top w:val="nil"/>
              <w:left w:val="nil"/>
              <w:bottom w:val="nil"/>
              <w:right w:val="nil"/>
            </w:tcBorders>
          </w:tcPr>
          <w:p w14:paraId="03322265" w14:textId="0EB1561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28.75</w:t>
            </w:r>
          </w:p>
        </w:tc>
      </w:tr>
      <w:tr w:rsidR="005F78E4" w:rsidRPr="004D271B" w14:paraId="025D4841" w14:textId="77777777" w:rsidTr="002360CF">
        <w:trPr>
          <w:trHeight w:val="259"/>
        </w:trPr>
        <w:tc>
          <w:tcPr>
            <w:tcW w:w="6371" w:type="dxa"/>
            <w:tcBorders>
              <w:top w:val="nil"/>
              <w:left w:val="nil"/>
              <w:bottom w:val="nil"/>
              <w:right w:val="nil"/>
            </w:tcBorders>
          </w:tcPr>
          <w:p w14:paraId="770C2E94"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Primary female has some formal education</w:t>
            </w:r>
          </w:p>
        </w:tc>
        <w:tc>
          <w:tcPr>
            <w:tcW w:w="1236" w:type="dxa"/>
            <w:tcBorders>
              <w:top w:val="nil"/>
              <w:left w:val="nil"/>
              <w:bottom w:val="nil"/>
              <w:right w:val="nil"/>
            </w:tcBorders>
          </w:tcPr>
          <w:p w14:paraId="79A32206"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0.432</w:t>
            </w:r>
          </w:p>
        </w:tc>
      </w:tr>
      <w:tr w:rsidR="005F78E4" w:rsidRPr="004D271B" w14:paraId="3C081ABF" w14:textId="77777777" w:rsidTr="002360CF">
        <w:trPr>
          <w:trHeight w:val="259"/>
        </w:trPr>
        <w:tc>
          <w:tcPr>
            <w:tcW w:w="6371" w:type="dxa"/>
            <w:tcBorders>
              <w:top w:val="nil"/>
              <w:left w:val="nil"/>
              <w:bottom w:val="nil"/>
              <w:right w:val="nil"/>
            </w:tcBorders>
          </w:tcPr>
          <w:p w14:paraId="4FA993B2"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Primary female has 1 to 3 years of education</w:t>
            </w:r>
          </w:p>
        </w:tc>
        <w:tc>
          <w:tcPr>
            <w:tcW w:w="1236" w:type="dxa"/>
            <w:tcBorders>
              <w:top w:val="nil"/>
              <w:left w:val="nil"/>
              <w:bottom w:val="nil"/>
              <w:right w:val="nil"/>
            </w:tcBorders>
          </w:tcPr>
          <w:p w14:paraId="3F5F09CF"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0.178</w:t>
            </w:r>
          </w:p>
        </w:tc>
      </w:tr>
      <w:tr w:rsidR="005F78E4" w:rsidRPr="004D271B" w14:paraId="29D16F1C" w14:textId="77777777" w:rsidTr="002360CF">
        <w:trPr>
          <w:trHeight w:val="259"/>
        </w:trPr>
        <w:tc>
          <w:tcPr>
            <w:tcW w:w="6371" w:type="dxa"/>
            <w:tcBorders>
              <w:top w:val="nil"/>
              <w:left w:val="nil"/>
              <w:bottom w:val="nil"/>
              <w:right w:val="nil"/>
            </w:tcBorders>
          </w:tcPr>
          <w:p w14:paraId="1DF6F558"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Primary female has 4 to 7 years of education</w:t>
            </w:r>
          </w:p>
        </w:tc>
        <w:tc>
          <w:tcPr>
            <w:tcW w:w="1236" w:type="dxa"/>
            <w:tcBorders>
              <w:top w:val="nil"/>
              <w:left w:val="nil"/>
              <w:bottom w:val="nil"/>
              <w:right w:val="nil"/>
            </w:tcBorders>
          </w:tcPr>
          <w:p w14:paraId="71C4E6A6"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0.183</w:t>
            </w:r>
          </w:p>
        </w:tc>
      </w:tr>
      <w:tr w:rsidR="005F78E4" w:rsidRPr="004D271B" w14:paraId="0158DFFD" w14:textId="77777777" w:rsidTr="002360CF">
        <w:trPr>
          <w:trHeight w:val="259"/>
        </w:trPr>
        <w:tc>
          <w:tcPr>
            <w:tcW w:w="6371" w:type="dxa"/>
            <w:tcBorders>
              <w:top w:val="nil"/>
              <w:left w:val="nil"/>
              <w:bottom w:val="nil"/>
              <w:right w:val="nil"/>
            </w:tcBorders>
          </w:tcPr>
          <w:p w14:paraId="62A041F0"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Primary female has 8 or more years of education</w:t>
            </w:r>
          </w:p>
        </w:tc>
        <w:tc>
          <w:tcPr>
            <w:tcW w:w="1236" w:type="dxa"/>
            <w:tcBorders>
              <w:top w:val="nil"/>
              <w:left w:val="nil"/>
              <w:bottom w:val="nil"/>
              <w:right w:val="nil"/>
            </w:tcBorders>
          </w:tcPr>
          <w:p w14:paraId="7B68DFA6"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0.071</w:t>
            </w:r>
          </w:p>
        </w:tc>
      </w:tr>
      <w:tr w:rsidR="005F78E4" w:rsidRPr="004D271B" w14:paraId="28DF9BB4" w14:textId="77777777" w:rsidTr="002360CF">
        <w:trPr>
          <w:trHeight w:val="259"/>
        </w:trPr>
        <w:tc>
          <w:tcPr>
            <w:tcW w:w="6371" w:type="dxa"/>
            <w:tcBorders>
              <w:top w:val="nil"/>
              <w:left w:val="nil"/>
              <w:bottom w:val="nil"/>
              <w:right w:val="nil"/>
            </w:tcBorders>
          </w:tcPr>
          <w:p w14:paraId="4995A9FA"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 xml:space="preserve">Primary female's main occupation is </w:t>
            </w:r>
            <w:proofErr w:type="gramStart"/>
            <w:r w:rsidRPr="004D271B">
              <w:rPr>
                <w:rFonts w:cstheme="minorHAnsi"/>
              </w:rPr>
              <w:t>crop</w:t>
            </w:r>
            <w:proofErr w:type="gramEnd"/>
            <w:r w:rsidRPr="004D271B">
              <w:rPr>
                <w:rFonts w:cstheme="minorHAnsi"/>
              </w:rPr>
              <w:t xml:space="preserve"> production</w:t>
            </w:r>
          </w:p>
        </w:tc>
        <w:tc>
          <w:tcPr>
            <w:tcW w:w="1236" w:type="dxa"/>
            <w:tcBorders>
              <w:top w:val="nil"/>
              <w:left w:val="nil"/>
              <w:bottom w:val="nil"/>
              <w:right w:val="nil"/>
            </w:tcBorders>
          </w:tcPr>
          <w:p w14:paraId="4FCA8F13"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0.376</w:t>
            </w:r>
          </w:p>
        </w:tc>
      </w:tr>
      <w:tr w:rsidR="005F78E4" w:rsidRPr="004D271B" w14:paraId="6929555E" w14:textId="77777777" w:rsidTr="002360CF">
        <w:trPr>
          <w:trHeight w:val="259"/>
        </w:trPr>
        <w:tc>
          <w:tcPr>
            <w:tcW w:w="6371" w:type="dxa"/>
            <w:tcBorders>
              <w:top w:val="nil"/>
              <w:left w:val="nil"/>
              <w:bottom w:val="nil"/>
              <w:right w:val="nil"/>
            </w:tcBorders>
          </w:tcPr>
          <w:p w14:paraId="25650D07"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Primary female is married</w:t>
            </w:r>
          </w:p>
        </w:tc>
        <w:tc>
          <w:tcPr>
            <w:tcW w:w="1236" w:type="dxa"/>
            <w:tcBorders>
              <w:top w:val="nil"/>
              <w:left w:val="nil"/>
              <w:bottom w:val="nil"/>
              <w:right w:val="nil"/>
            </w:tcBorders>
          </w:tcPr>
          <w:p w14:paraId="25AFED24"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0.933</w:t>
            </w:r>
          </w:p>
        </w:tc>
      </w:tr>
      <w:tr w:rsidR="005F78E4" w:rsidRPr="004D271B" w14:paraId="36FAE7F4" w14:textId="77777777" w:rsidTr="002360CF">
        <w:trPr>
          <w:trHeight w:val="259"/>
        </w:trPr>
        <w:tc>
          <w:tcPr>
            <w:tcW w:w="6371" w:type="dxa"/>
            <w:tcBorders>
              <w:top w:val="nil"/>
              <w:left w:val="nil"/>
              <w:bottom w:val="nil"/>
              <w:right w:val="nil"/>
            </w:tcBorders>
          </w:tcPr>
          <w:p w14:paraId="71BCE870"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Public Works beneficiary in 2022</w:t>
            </w:r>
          </w:p>
        </w:tc>
        <w:tc>
          <w:tcPr>
            <w:tcW w:w="1236" w:type="dxa"/>
            <w:tcBorders>
              <w:top w:val="nil"/>
              <w:left w:val="nil"/>
              <w:bottom w:val="nil"/>
              <w:right w:val="nil"/>
            </w:tcBorders>
          </w:tcPr>
          <w:p w14:paraId="3B39E45F"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0.961</w:t>
            </w:r>
          </w:p>
        </w:tc>
      </w:tr>
      <w:tr w:rsidR="005F78E4" w:rsidRPr="004D271B" w14:paraId="0B9CEC5F" w14:textId="77777777" w:rsidTr="002360CF">
        <w:trPr>
          <w:trHeight w:val="259"/>
        </w:trPr>
        <w:tc>
          <w:tcPr>
            <w:tcW w:w="6371" w:type="dxa"/>
            <w:tcBorders>
              <w:top w:val="nil"/>
              <w:left w:val="nil"/>
              <w:bottom w:val="nil"/>
              <w:right w:val="nil"/>
            </w:tcBorders>
          </w:tcPr>
          <w:p w14:paraId="52A15481"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Direct Support beneficiary in 2022</w:t>
            </w:r>
          </w:p>
        </w:tc>
        <w:tc>
          <w:tcPr>
            <w:tcW w:w="1236" w:type="dxa"/>
            <w:tcBorders>
              <w:top w:val="nil"/>
              <w:left w:val="nil"/>
              <w:bottom w:val="nil"/>
              <w:right w:val="nil"/>
            </w:tcBorders>
          </w:tcPr>
          <w:p w14:paraId="66CE18DE"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0.121</w:t>
            </w:r>
          </w:p>
        </w:tc>
      </w:tr>
      <w:tr w:rsidR="005F78E4" w:rsidRPr="004D271B" w14:paraId="0B415D80" w14:textId="77777777" w:rsidTr="002360CF">
        <w:trPr>
          <w:trHeight w:val="259"/>
        </w:trPr>
        <w:tc>
          <w:tcPr>
            <w:tcW w:w="6371" w:type="dxa"/>
            <w:tcBorders>
              <w:top w:val="nil"/>
              <w:left w:val="nil"/>
              <w:bottom w:val="nil"/>
              <w:right w:val="nil"/>
            </w:tcBorders>
          </w:tcPr>
          <w:p w14:paraId="1E24A552"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Public Works beneficiary in 2021</w:t>
            </w:r>
          </w:p>
        </w:tc>
        <w:tc>
          <w:tcPr>
            <w:tcW w:w="1236" w:type="dxa"/>
            <w:tcBorders>
              <w:top w:val="nil"/>
              <w:left w:val="nil"/>
              <w:bottom w:val="nil"/>
              <w:right w:val="nil"/>
            </w:tcBorders>
          </w:tcPr>
          <w:p w14:paraId="7FE18F3F"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0.298</w:t>
            </w:r>
          </w:p>
        </w:tc>
      </w:tr>
      <w:tr w:rsidR="005F78E4" w:rsidRPr="004D271B" w14:paraId="125E8E36" w14:textId="77777777" w:rsidTr="002360CF">
        <w:trPr>
          <w:trHeight w:val="259"/>
        </w:trPr>
        <w:tc>
          <w:tcPr>
            <w:tcW w:w="6371" w:type="dxa"/>
            <w:tcBorders>
              <w:top w:val="nil"/>
              <w:left w:val="nil"/>
              <w:bottom w:val="nil"/>
              <w:right w:val="nil"/>
            </w:tcBorders>
          </w:tcPr>
          <w:p w14:paraId="65ACA37B" w14:textId="77777777" w:rsidR="005F78E4" w:rsidRPr="004D271B" w:rsidRDefault="005F78E4" w:rsidP="002360CF">
            <w:pPr>
              <w:keepNext/>
              <w:keepLines/>
              <w:autoSpaceDE w:val="0"/>
              <w:autoSpaceDN w:val="0"/>
              <w:adjustRightInd w:val="0"/>
              <w:spacing w:before="0" w:after="0" w:line="240" w:lineRule="auto"/>
              <w:rPr>
                <w:rFonts w:cstheme="minorHAnsi"/>
              </w:rPr>
            </w:pPr>
            <w:r w:rsidRPr="004D271B">
              <w:rPr>
                <w:rFonts w:cstheme="minorHAnsi"/>
              </w:rPr>
              <w:t>Direct Support beneficiary in 2021</w:t>
            </w:r>
          </w:p>
        </w:tc>
        <w:tc>
          <w:tcPr>
            <w:tcW w:w="1236" w:type="dxa"/>
            <w:tcBorders>
              <w:top w:val="nil"/>
              <w:left w:val="nil"/>
              <w:bottom w:val="nil"/>
              <w:right w:val="nil"/>
            </w:tcBorders>
          </w:tcPr>
          <w:p w14:paraId="03A6001A" w14:textId="77777777" w:rsidR="005F78E4" w:rsidRPr="004D271B" w:rsidRDefault="005F78E4" w:rsidP="002360CF">
            <w:pPr>
              <w:keepNext/>
              <w:keepLines/>
              <w:autoSpaceDE w:val="0"/>
              <w:autoSpaceDN w:val="0"/>
              <w:adjustRightInd w:val="0"/>
              <w:spacing w:before="0" w:after="0" w:line="240" w:lineRule="auto"/>
              <w:jc w:val="center"/>
              <w:rPr>
                <w:rFonts w:cstheme="minorHAnsi"/>
              </w:rPr>
            </w:pPr>
            <w:r w:rsidRPr="004D271B">
              <w:rPr>
                <w:rFonts w:cstheme="minorHAnsi"/>
              </w:rPr>
              <w:t>0.033</w:t>
            </w:r>
          </w:p>
        </w:tc>
      </w:tr>
      <w:tr w:rsidR="005F78E4" w:rsidRPr="004D271B" w14:paraId="717F62A1" w14:textId="77777777" w:rsidTr="002360CF">
        <w:trPr>
          <w:trHeight w:val="259"/>
        </w:trPr>
        <w:tc>
          <w:tcPr>
            <w:tcW w:w="6371" w:type="dxa"/>
            <w:tcBorders>
              <w:top w:val="nil"/>
              <w:left w:val="nil"/>
              <w:bottom w:val="single" w:sz="12" w:space="0" w:color="auto"/>
              <w:right w:val="nil"/>
            </w:tcBorders>
            <w:vAlign w:val="center"/>
          </w:tcPr>
          <w:p w14:paraId="339E15A5" w14:textId="03BD81F5" w:rsidR="005F78E4" w:rsidRPr="004D271B" w:rsidRDefault="00EF2BDC" w:rsidP="002360CF">
            <w:pPr>
              <w:keepNext/>
              <w:keepLines/>
              <w:autoSpaceDE w:val="0"/>
              <w:autoSpaceDN w:val="0"/>
              <w:adjustRightInd w:val="0"/>
              <w:spacing w:before="0" w:after="0" w:line="240" w:lineRule="auto"/>
              <w:jc w:val="left"/>
              <w:rPr>
                <w:rFonts w:cstheme="minorHAnsi"/>
              </w:rPr>
            </w:pPr>
            <w:r>
              <w:rPr>
                <w:rFonts w:cstheme="minorHAnsi"/>
              </w:rPr>
              <w:t xml:space="preserve">Share </w:t>
            </w:r>
            <w:r w:rsidRPr="00AB5CD8">
              <w:rPr>
                <w:rFonts w:cstheme="minorHAnsi"/>
              </w:rPr>
              <w:t>of people living on less than $1.90/day 2011 PPP</w:t>
            </w:r>
            <w:r w:rsidR="00F21959">
              <w:rPr>
                <w:rFonts w:cstheme="minorHAnsi"/>
              </w:rPr>
              <w:t>-USD</w:t>
            </w:r>
          </w:p>
        </w:tc>
        <w:tc>
          <w:tcPr>
            <w:tcW w:w="1236" w:type="dxa"/>
            <w:tcBorders>
              <w:top w:val="nil"/>
              <w:left w:val="nil"/>
              <w:bottom w:val="single" w:sz="12" w:space="0" w:color="auto"/>
              <w:right w:val="nil"/>
            </w:tcBorders>
            <w:vAlign w:val="center"/>
          </w:tcPr>
          <w:p w14:paraId="52B12904" w14:textId="144A6503" w:rsidR="005F78E4" w:rsidRPr="004D271B" w:rsidRDefault="00F92161" w:rsidP="002360CF">
            <w:pPr>
              <w:keepNext/>
              <w:keepLines/>
              <w:autoSpaceDE w:val="0"/>
              <w:autoSpaceDN w:val="0"/>
              <w:adjustRightInd w:val="0"/>
              <w:spacing w:before="0" w:after="0" w:line="240" w:lineRule="auto"/>
              <w:jc w:val="center"/>
              <w:rPr>
                <w:rFonts w:cstheme="minorHAnsi"/>
              </w:rPr>
            </w:pPr>
            <w:r>
              <w:rPr>
                <w:rFonts w:eastAsia="Times New Roman" w:cstheme="minorHAnsi"/>
                <w:color w:val="000000"/>
              </w:rPr>
              <w:t>0.</w:t>
            </w:r>
            <w:r w:rsidRPr="00497A67">
              <w:rPr>
                <w:rFonts w:eastAsia="Times New Roman" w:cstheme="minorHAnsi"/>
                <w:color w:val="000000"/>
              </w:rPr>
              <w:t>7</w:t>
            </w:r>
            <w:r>
              <w:rPr>
                <w:rFonts w:eastAsia="Times New Roman" w:cstheme="minorHAnsi"/>
                <w:color w:val="000000"/>
              </w:rPr>
              <w:t>10</w:t>
            </w:r>
          </w:p>
        </w:tc>
      </w:tr>
    </w:tbl>
    <w:p w14:paraId="508259E6" w14:textId="77777777" w:rsidR="00C41225" w:rsidRDefault="00C41225" w:rsidP="00C41225">
      <w:pPr>
        <w:sectPr w:rsidR="00C41225" w:rsidSect="00A11C14">
          <w:pgSz w:w="12240" w:h="15840"/>
          <w:pgMar w:top="1440" w:right="1440" w:bottom="1440" w:left="1440" w:header="720" w:footer="720" w:gutter="0"/>
          <w:cols w:space="720"/>
          <w:docGrid w:linePitch="360"/>
        </w:sectPr>
      </w:pPr>
    </w:p>
    <w:p w14:paraId="7947D6A2" w14:textId="77777777" w:rsidR="007B10FF" w:rsidRDefault="007B10FF" w:rsidP="00F6389C">
      <w:pPr>
        <w:pStyle w:val="Heading1"/>
        <w:numPr>
          <w:ilvl w:val="0"/>
          <w:numId w:val="0"/>
        </w:numPr>
        <w:ind w:left="720" w:hanging="720"/>
      </w:pPr>
      <w:bookmarkStart w:id="70" w:name="_4f1mdlm" w:colFirst="0" w:colLast="0"/>
      <w:bookmarkStart w:id="71" w:name="_Toc519758693"/>
      <w:bookmarkStart w:id="72" w:name="_Toc126582988"/>
      <w:bookmarkEnd w:id="70"/>
      <w:r>
        <w:lastRenderedPageBreak/>
        <w:t>Administrative information</w:t>
      </w:r>
      <w:bookmarkEnd w:id="71"/>
      <w:bookmarkEnd w:id="72"/>
    </w:p>
    <w:p w14:paraId="3D775DB8" w14:textId="6182326E" w:rsidR="000D5692" w:rsidRPr="000D5692" w:rsidRDefault="000D5692" w:rsidP="00AE7CCF">
      <w:pPr>
        <w:pStyle w:val="Heading2"/>
      </w:pPr>
      <w:bookmarkStart w:id="73" w:name="_Toc126582989"/>
      <w:r w:rsidRPr="000D5692">
        <w:t>Funding</w:t>
      </w:r>
      <w:bookmarkEnd w:id="73"/>
    </w:p>
    <w:p w14:paraId="7CCBDB05" w14:textId="1CF7BD69" w:rsidR="000D5692" w:rsidRDefault="000D5692" w:rsidP="000D5692">
      <w:pPr>
        <w:rPr>
          <w:rFonts w:eastAsiaTheme="majorEastAsia"/>
        </w:rPr>
      </w:pPr>
      <w:r w:rsidRPr="000D5692">
        <w:rPr>
          <w:rFonts w:eastAsiaTheme="majorEastAsia"/>
        </w:rPr>
        <w:t xml:space="preserve">This work was </w:t>
      </w:r>
      <w:r>
        <w:rPr>
          <w:rFonts w:eastAsiaTheme="majorEastAsia"/>
        </w:rPr>
        <w:t>funded</w:t>
      </w:r>
      <w:r w:rsidRPr="000D5692">
        <w:rPr>
          <w:rFonts w:eastAsiaTheme="majorEastAsia"/>
        </w:rPr>
        <w:t xml:space="preserve"> </w:t>
      </w:r>
      <w:r>
        <w:rPr>
          <w:rFonts w:eastAsiaTheme="majorEastAsia"/>
        </w:rPr>
        <w:t>through</w:t>
      </w:r>
      <w:r w:rsidRPr="000D5692">
        <w:rPr>
          <w:rFonts w:eastAsiaTheme="majorEastAsia"/>
        </w:rPr>
        <w:t xml:space="preserve"> </w:t>
      </w:r>
      <w:r>
        <w:rPr>
          <w:rFonts w:eastAsiaTheme="majorEastAsia"/>
        </w:rPr>
        <w:t>t</w:t>
      </w:r>
      <w:r w:rsidRPr="000D5692">
        <w:rPr>
          <w:rFonts w:eastAsiaTheme="majorEastAsia"/>
        </w:rPr>
        <w:t>he Implementer-Led Evaluation &amp; Learning Associate Award</w:t>
      </w:r>
      <w:r>
        <w:rPr>
          <w:rFonts w:eastAsiaTheme="majorEastAsia"/>
        </w:rPr>
        <w:t xml:space="preserve"> (</w:t>
      </w:r>
      <w:r w:rsidRPr="000D5692">
        <w:rPr>
          <w:rFonts w:eastAsiaTheme="majorEastAsia"/>
        </w:rPr>
        <w:t>IMPEL</w:t>
      </w:r>
      <w:r>
        <w:rPr>
          <w:rFonts w:eastAsiaTheme="majorEastAsia"/>
        </w:rPr>
        <w:t>)</w:t>
      </w:r>
      <w:r>
        <w:t>, a</w:t>
      </w:r>
      <w:r w:rsidRPr="000D5692">
        <w:rPr>
          <w:rFonts w:eastAsiaTheme="majorEastAsia"/>
        </w:rPr>
        <w:t>greement Number: 72DFFP19LA00003</w:t>
      </w:r>
      <w:r>
        <w:rPr>
          <w:rFonts w:eastAsiaTheme="majorEastAsia"/>
        </w:rPr>
        <w:t>. Funded by the USAID and coordinated by the Save the Children, t</w:t>
      </w:r>
      <w:r w:rsidRPr="000D5692">
        <w:rPr>
          <w:rFonts w:eastAsiaTheme="majorEastAsia"/>
        </w:rPr>
        <w:t>he Implementer-Led Evaluation &amp; Learning Associate Award works to improve the design and implementation of Bureau for Humanitarian Assistance (BHA) funded resilience food security activities (RFSAs) through implementer-led evaluations and knowledge sharing.</w:t>
      </w:r>
    </w:p>
    <w:p w14:paraId="3D8194C8" w14:textId="58F8F2A9" w:rsidR="000D5692" w:rsidRPr="000D5692" w:rsidRDefault="000D5692" w:rsidP="00AE7CCF">
      <w:pPr>
        <w:pStyle w:val="Heading2"/>
      </w:pPr>
      <w:bookmarkStart w:id="74" w:name="_Toc126582990"/>
      <w:r w:rsidRPr="000D5692">
        <w:t>Institutional Review Board (ethics approval)</w:t>
      </w:r>
      <w:bookmarkEnd w:id="74"/>
    </w:p>
    <w:p w14:paraId="2265EC32" w14:textId="5DBAE8D8" w:rsidR="000D5692" w:rsidRPr="000D5692" w:rsidRDefault="00AE7CCF" w:rsidP="000D5692">
      <w:pPr>
        <w:rPr>
          <w:bCs/>
          <w:szCs w:val="20"/>
        </w:rPr>
      </w:pPr>
      <w:r>
        <w:rPr>
          <w:bCs/>
          <w:szCs w:val="20"/>
        </w:rPr>
        <w:t>E</w:t>
      </w:r>
      <w:r w:rsidR="000D5692" w:rsidRPr="000D5692">
        <w:rPr>
          <w:bCs/>
          <w:szCs w:val="20"/>
        </w:rPr>
        <w:t>thical approval</w:t>
      </w:r>
      <w:r w:rsidR="000D5692">
        <w:rPr>
          <w:bCs/>
          <w:szCs w:val="20"/>
        </w:rPr>
        <w:t>s</w:t>
      </w:r>
      <w:r w:rsidR="000D5692" w:rsidRPr="000D5692">
        <w:rPr>
          <w:bCs/>
          <w:szCs w:val="20"/>
        </w:rPr>
        <w:t xml:space="preserve"> </w:t>
      </w:r>
      <w:r w:rsidR="000D5692">
        <w:rPr>
          <w:bCs/>
          <w:szCs w:val="20"/>
        </w:rPr>
        <w:t>were</w:t>
      </w:r>
      <w:r w:rsidR="000D5692" w:rsidRPr="000D5692">
        <w:rPr>
          <w:bCs/>
          <w:szCs w:val="20"/>
        </w:rPr>
        <w:t xml:space="preserve"> obtained from the International Food Policy Research Institute (IFPRI)</w:t>
      </w:r>
      <w:r w:rsidR="00E77A30">
        <w:rPr>
          <w:bCs/>
          <w:szCs w:val="20"/>
        </w:rPr>
        <w:t xml:space="preserve">, </w:t>
      </w:r>
      <w:r w:rsidR="000D5692" w:rsidRPr="000D5692">
        <w:rPr>
          <w:bCs/>
          <w:szCs w:val="20"/>
        </w:rPr>
        <w:t>Ethiopian Public Health Association (EPHA)</w:t>
      </w:r>
      <w:r w:rsidR="00E77A30">
        <w:rPr>
          <w:bCs/>
          <w:szCs w:val="20"/>
        </w:rPr>
        <w:t xml:space="preserve"> and </w:t>
      </w:r>
      <w:r w:rsidR="00E77A30" w:rsidRPr="00E77A30">
        <w:rPr>
          <w:bCs/>
          <w:szCs w:val="20"/>
        </w:rPr>
        <w:t xml:space="preserve">Ethiopian Society of Sociologists, Social </w:t>
      </w:r>
      <w:proofErr w:type="gramStart"/>
      <w:r w:rsidR="00E77A30" w:rsidRPr="00E77A30">
        <w:rPr>
          <w:bCs/>
          <w:szCs w:val="20"/>
        </w:rPr>
        <w:t>Workers</w:t>
      </w:r>
      <w:proofErr w:type="gramEnd"/>
      <w:r w:rsidR="00E77A30" w:rsidRPr="00E77A30">
        <w:rPr>
          <w:bCs/>
          <w:szCs w:val="20"/>
        </w:rPr>
        <w:t xml:space="preserve"> and Anthropologists (ESSSWA)</w:t>
      </w:r>
      <w:r w:rsidR="000D5692">
        <w:rPr>
          <w:bCs/>
          <w:szCs w:val="20"/>
        </w:rPr>
        <w:t xml:space="preserve">. </w:t>
      </w:r>
    </w:p>
    <w:p w14:paraId="45CA00D6" w14:textId="50474398" w:rsidR="000D5692" w:rsidRPr="000D5692" w:rsidRDefault="000D5692" w:rsidP="00AE7CCF">
      <w:pPr>
        <w:pStyle w:val="Heading2"/>
        <w:rPr>
          <w:rFonts w:eastAsia="Arial"/>
        </w:rPr>
      </w:pPr>
      <w:bookmarkStart w:id="75" w:name="_Toc126582991"/>
      <w:r w:rsidRPr="000D5692">
        <w:rPr>
          <w:rFonts w:eastAsia="Arial"/>
        </w:rPr>
        <w:t>Declaration of interest</w:t>
      </w:r>
      <w:bookmarkEnd w:id="75"/>
    </w:p>
    <w:p w14:paraId="5BE67A2C" w14:textId="03EA8A15" w:rsidR="000D5692" w:rsidRPr="000D5692" w:rsidRDefault="00F6389C" w:rsidP="000D5692">
      <w:pPr>
        <w:rPr>
          <w:rFonts w:eastAsia="Arial" w:cs="Arial"/>
          <w:bCs/>
          <w:szCs w:val="20"/>
        </w:rPr>
      </w:pPr>
      <w:r>
        <w:rPr>
          <w:rFonts w:eastAsia="Arial" w:cs="Arial"/>
          <w:bCs/>
          <w:szCs w:val="20"/>
        </w:rPr>
        <w:t>Gilligan, Hirvonen, Leight and Tesfay</w:t>
      </w:r>
      <w:r w:rsidR="00FA7495">
        <w:rPr>
          <w:rFonts w:eastAsia="Arial" w:cs="Arial"/>
          <w:bCs/>
          <w:szCs w:val="20"/>
        </w:rPr>
        <w:t>e</w:t>
      </w:r>
      <w:r>
        <w:rPr>
          <w:rFonts w:eastAsia="Arial" w:cs="Arial"/>
          <w:bCs/>
          <w:szCs w:val="20"/>
        </w:rPr>
        <w:t xml:space="preserve"> declare no </w:t>
      </w:r>
      <w:r w:rsidR="000D5692" w:rsidRPr="000D5692">
        <w:rPr>
          <w:rFonts w:eastAsia="Arial" w:cs="Arial"/>
          <w:bCs/>
          <w:szCs w:val="20"/>
        </w:rPr>
        <w:t>conflict of interest.</w:t>
      </w:r>
      <w:r>
        <w:rPr>
          <w:rFonts w:eastAsia="Arial" w:cs="Arial"/>
          <w:bCs/>
          <w:szCs w:val="20"/>
        </w:rPr>
        <w:t xml:space="preserve"> Mulford is a</w:t>
      </w:r>
      <w:r w:rsidRPr="00F6389C">
        <w:rPr>
          <w:rFonts w:eastAsia="Arial" w:cs="Arial"/>
          <w:bCs/>
          <w:szCs w:val="20"/>
        </w:rPr>
        <w:t xml:space="preserve"> member of the program implementation team </w:t>
      </w:r>
      <w:r>
        <w:rPr>
          <w:rFonts w:eastAsia="Arial" w:cs="Arial"/>
          <w:bCs/>
          <w:szCs w:val="20"/>
        </w:rPr>
        <w:t xml:space="preserve">(World Vision) </w:t>
      </w:r>
      <w:r w:rsidRPr="00F6389C">
        <w:rPr>
          <w:rFonts w:eastAsia="Arial" w:cs="Arial"/>
          <w:bCs/>
          <w:szCs w:val="20"/>
        </w:rPr>
        <w:t xml:space="preserve">that designed and implemented the </w:t>
      </w:r>
      <w:r>
        <w:rPr>
          <w:rFonts w:eastAsia="Arial" w:cs="Arial"/>
          <w:bCs/>
          <w:szCs w:val="20"/>
        </w:rPr>
        <w:t xml:space="preserve">SPIR </w:t>
      </w:r>
      <w:r w:rsidRPr="00F6389C">
        <w:rPr>
          <w:rFonts w:eastAsia="Arial" w:cs="Arial"/>
          <w:bCs/>
          <w:szCs w:val="20"/>
        </w:rPr>
        <w:t xml:space="preserve">interventions. </w:t>
      </w:r>
      <w:r>
        <w:rPr>
          <w:rFonts w:eastAsia="Arial" w:cs="Arial"/>
          <w:bCs/>
          <w:szCs w:val="20"/>
        </w:rPr>
        <w:t>Mulford</w:t>
      </w:r>
      <w:r w:rsidRPr="00F6389C">
        <w:rPr>
          <w:rFonts w:eastAsia="Arial" w:cs="Arial"/>
          <w:bCs/>
          <w:szCs w:val="20"/>
        </w:rPr>
        <w:t xml:space="preserve"> reviewed the </w:t>
      </w:r>
      <w:r w:rsidR="001468BA">
        <w:rPr>
          <w:rFonts w:eastAsia="Arial" w:cs="Arial"/>
          <w:bCs/>
          <w:szCs w:val="20"/>
        </w:rPr>
        <w:t>protocol</w:t>
      </w:r>
      <w:r w:rsidRPr="00F6389C">
        <w:rPr>
          <w:rFonts w:eastAsia="Arial" w:cs="Arial"/>
          <w:bCs/>
          <w:szCs w:val="20"/>
        </w:rPr>
        <w:t xml:space="preserve"> and provided </w:t>
      </w:r>
      <w:r>
        <w:rPr>
          <w:rFonts w:eastAsia="Arial" w:cs="Arial"/>
          <w:bCs/>
          <w:szCs w:val="20"/>
        </w:rPr>
        <w:t>inputs into description of the study design. However, the</w:t>
      </w:r>
      <w:r w:rsidRPr="00F6389C">
        <w:rPr>
          <w:rFonts w:eastAsia="Arial" w:cs="Arial"/>
          <w:bCs/>
          <w:szCs w:val="20"/>
        </w:rPr>
        <w:t xml:space="preserve"> final decisions for content were made by the primary </w:t>
      </w:r>
      <w:r>
        <w:rPr>
          <w:rFonts w:eastAsia="Arial" w:cs="Arial"/>
          <w:bCs/>
          <w:szCs w:val="20"/>
        </w:rPr>
        <w:t>researchers</w:t>
      </w:r>
      <w:r w:rsidRPr="00F6389C">
        <w:rPr>
          <w:rFonts w:eastAsia="Arial" w:cs="Arial"/>
          <w:bCs/>
          <w:szCs w:val="20"/>
        </w:rPr>
        <w:t xml:space="preserve"> from the evaluation team (</w:t>
      </w:r>
      <w:r>
        <w:rPr>
          <w:rFonts w:eastAsia="Arial" w:cs="Arial"/>
          <w:bCs/>
          <w:szCs w:val="20"/>
        </w:rPr>
        <w:t>Gilligan, Hirvonen, Leight and Tesfay</w:t>
      </w:r>
      <w:r w:rsidR="00FA7495">
        <w:rPr>
          <w:rFonts w:eastAsia="Arial" w:cs="Arial"/>
          <w:bCs/>
          <w:szCs w:val="20"/>
        </w:rPr>
        <w:t>e</w:t>
      </w:r>
      <w:r w:rsidRPr="00F6389C">
        <w:rPr>
          <w:rFonts w:eastAsia="Arial" w:cs="Arial"/>
          <w:bCs/>
          <w:szCs w:val="20"/>
        </w:rPr>
        <w:t>).</w:t>
      </w:r>
    </w:p>
    <w:p w14:paraId="2A46A49C" w14:textId="23D89A78" w:rsidR="000D5692" w:rsidRDefault="000D5692" w:rsidP="00AE7CCF">
      <w:pPr>
        <w:pStyle w:val="Heading2"/>
        <w:rPr>
          <w:rFonts w:eastAsia="Arial"/>
        </w:rPr>
      </w:pPr>
      <w:bookmarkStart w:id="76" w:name="_Toc126582992"/>
      <w:r w:rsidRPr="000D5692">
        <w:rPr>
          <w:rFonts w:eastAsia="Arial"/>
        </w:rPr>
        <w:t>Acknowledgments</w:t>
      </w:r>
      <w:bookmarkEnd w:id="76"/>
    </w:p>
    <w:p w14:paraId="47AAB4C7" w14:textId="5031D5C5" w:rsidR="0039648E" w:rsidRPr="0039648E" w:rsidRDefault="0039648E" w:rsidP="0039648E">
      <w:r>
        <w:rPr>
          <w:rFonts w:cs="Calibri"/>
        </w:rPr>
        <w:t xml:space="preserve">We thank Heleene Tambet for research assistance and Lucy Billings for project coordination. We </w:t>
      </w:r>
      <w:r w:rsidR="001509A7">
        <w:rPr>
          <w:rFonts w:cs="Calibri"/>
        </w:rPr>
        <w:t xml:space="preserve">have </w:t>
      </w:r>
      <w:r>
        <w:rPr>
          <w:rFonts w:cs="Calibri"/>
        </w:rPr>
        <w:t>benefitted from comments from</w:t>
      </w:r>
      <w:r w:rsidR="00831C3D">
        <w:rPr>
          <w:rFonts w:cs="Calibri"/>
        </w:rPr>
        <w:t xml:space="preserve"> two anonymous reviewers, Dean Yang (</w:t>
      </w:r>
      <w:r w:rsidR="00B75E95">
        <w:rPr>
          <w:rFonts w:cs="Calibri"/>
        </w:rPr>
        <w:t xml:space="preserve">the </w:t>
      </w:r>
      <w:r w:rsidR="00831C3D">
        <w:rPr>
          <w:rFonts w:cs="Calibri"/>
        </w:rPr>
        <w:t>editor) as well as</w:t>
      </w:r>
      <w:r>
        <w:rPr>
          <w:rFonts w:cs="Calibri"/>
        </w:rPr>
        <w:t xml:space="preserve"> </w:t>
      </w:r>
      <w:proofErr w:type="spellStart"/>
      <w:r w:rsidRPr="00083FDF">
        <w:rPr>
          <w:rFonts w:cs="Calibri"/>
        </w:rPr>
        <w:t>Girum</w:t>
      </w:r>
      <w:proofErr w:type="spellEnd"/>
      <w:r w:rsidRPr="00083FDF">
        <w:rPr>
          <w:rFonts w:cs="Calibri"/>
        </w:rPr>
        <w:t xml:space="preserve"> Abebe</w:t>
      </w:r>
      <w:r>
        <w:rPr>
          <w:rFonts w:cs="Calibri"/>
        </w:rPr>
        <w:t>, Harold Alderman, Sarah B</w:t>
      </w:r>
      <w:r w:rsidRPr="00083FDF">
        <w:rPr>
          <w:rFonts w:cs="Calibri"/>
        </w:rPr>
        <w:t>aird</w:t>
      </w:r>
      <w:r>
        <w:rPr>
          <w:rFonts w:cs="Calibri"/>
        </w:rPr>
        <w:t xml:space="preserve">, Melissa Hidrobo, John </w:t>
      </w:r>
      <w:r w:rsidRPr="00083FDF">
        <w:rPr>
          <w:rFonts w:cs="Calibri"/>
        </w:rPr>
        <w:t>Hoddinott</w:t>
      </w:r>
      <w:r>
        <w:rPr>
          <w:rFonts w:cs="Calibri"/>
        </w:rPr>
        <w:t>,</w:t>
      </w:r>
      <w:r w:rsidRPr="00083FDF">
        <w:rPr>
          <w:rFonts w:cs="Calibri"/>
        </w:rPr>
        <w:t xml:space="preserve"> </w:t>
      </w:r>
      <w:r>
        <w:rPr>
          <w:rFonts w:cs="Calibri"/>
        </w:rPr>
        <w:t>Miles Kirby,</w:t>
      </w:r>
      <w:r w:rsidRPr="0039648E">
        <w:rPr>
          <w:rFonts w:cs="Calibri"/>
        </w:rPr>
        <w:t xml:space="preserve"> </w:t>
      </w:r>
      <w:r w:rsidRPr="00083FDF">
        <w:rPr>
          <w:rFonts w:cs="Calibri"/>
        </w:rPr>
        <w:t>Reimar Macaranas</w:t>
      </w:r>
      <w:r>
        <w:rPr>
          <w:rFonts w:cs="Calibri"/>
        </w:rPr>
        <w:t xml:space="preserve">, and Beryl Oranga. We thank colleagues at </w:t>
      </w:r>
      <w:r>
        <w:rPr>
          <w:rFonts w:eastAsiaTheme="majorEastAsia"/>
        </w:rPr>
        <w:t xml:space="preserve">USAID, Save the Children and World Vision for comments and guidance throughout the project, particularly </w:t>
      </w:r>
      <w:r>
        <w:rPr>
          <w:rFonts w:cs="Calibri"/>
        </w:rPr>
        <w:t xml:space="preserve">Mara Mordini, Adam Trowbridge, Hilary Cook, </w:t>
      </w:r>
      <w:r w:rsidRPr="008E117A">
        <w:rPr>
          <w:rFonts w:cs="Calibri"/>
        </w:rPr>
        <w:t>Takawira Kapikinyu</w:t>
      </w:r>
      <w:r>
        <w:rPr>
          <w:rFonts w:cs="Calibri"/>
        </w:rPr>
        <w:t xml:space="preserve">, Retta Gudisa, </w:t>
      </w:r>
      <w:r w:rsidRPr="008E117A">
        <w:rPr>
          <w:rFonts w:cs="Calibri"/>
        </w:rPr>
        <w:t>Mohamoud</w:t>
      </w:r>
      <w:r>
        <w:rPr>
          <w:rFonts w:cs="Calibri"/>
        </w:rPr>
        <w:t xml:space="preserve"> </w:t>
      </w:r>
      <w:r w:rsidRPr="008E117A">
        <w:rPr>
          <w:rFonts w:cs="Calibri"/>
        </w:rPr>
        <w:t>Ahmed</w:t>
      </w:r>
      <w:r>
        <w:rPr>
          <w:rFonts w:cs="Calibri"/>
        </w:rPr>
        <w:t xml:space="preserve"> and Tom Spangler. Finally, we thank Tigabu </w:t>
      </w:r>
      <w:r w:rsidRPr="008E117A">
        <w:rPr>
          <w:rFonts w:cs="Calibri"/>
        </w:rPr>
        <w:t xml:space="preserve">Getahun </w:t>
      </w:r>
      <w:r>
        <w:rPr>
          <w:rFonts w:cs="Calibri"/>
        </w:rPr>
        <w:t xml:space="preserve">and the </w:t>
      </w:r>
      <w:proofErr w:type="spellStart"/>
      <w:r>
        <w:rPr>
          <w:rFonts w:cs="Calibri"/>
        </w:rPr>
        <w:t>EconInsight</w:t>
      </w:r>
      <w:proofErr w:type="spellEnd"/>
      <w:r>
        <w:rPr>
          <w:rFonts w:cs="Calibri"/>
        </w:rPr>
        <w:t xml:space="preserve"> field team for their work conducting interviews and collecting the baseline data. </w:t>
      </w:r>
    </w:p>
    <w:sectPr w:rsidR="0039648E" w:rsidRPr="0039648E" w:rsidSect="003436D5">
      <w:headerReference w:type="default" r:id="rId16"/>
      <w:footerReference w:type="default" r:id="rId17"/>
      <w:pgSz w:w="12240" w:h="15840"/>
      <w:pgMar w:top="135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2E7B" w14:textId="77777777" w:rsidR="00A30550" w:rsidRDefault="00A30550" w:rsidP="007048BE">
      <w:pPr>
        <w:spacing w:before="0" w:after="0" w:line="240" w:lineRule="auto"/>
      </w:pPr>
      <w:r>
        <w:separator/>
      </w:r>
    </w:p>
  </w:endnote>
  <w:endnote w:type="continuationSeparator" w:id="0">
    <w:p w14:paraId="6CD67E32" w14:textId="77777777" w:rsidR="00A30550" w:rsidRDefault="00A30550" w:rsidP="007048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6BE4" w14:textId="77777777" w:rsidR="00334DF2" w:rsidRDefault="00334DF2">
    <w:pPr>
      <w:tabs>
        <w:tab w:val="center" w:pos="4680"/>
        <w:tab w:val="right" w:pos="9360"/>
      </w:tabs>
      <w:spacing w:after="235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27023"/>
      <w:docPartObj>
        <w:docPartGallery w:val="Page Numbers (Bottom of Page)"/>
        <w:docPartUnique/>
      </w:docPartObj>
    </w:sdtPr>
    <w:sdtEndPr>
      <w:rPr>
        <w:noProof/>
      </w:rPr>
    </w:sdtEndPr>
    <w:sdtContent>
      <w:p w14:paraId="4682BCD7" w14:textId="66D86C29" w:rsidR="00F3162E" w:rsidRDefault="00F31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E99" w14:textId="77777777" w:rsidR="00334DF2" w:rsidRDefault="00334DF2">
    <w:pPr>
      <w:tabs>
        <w:tab w:val="center" w:pos="4680"/>
        <w:tab w:val="right" w:pos="9360"/>
      </w:tabs>
      <w:spacing w:after="235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62336"/>
      <w:docPartObj>
        <w:docPartGallery w:val="Page Numbers (Bottom of Page)"/>
        <w:docPartUnique/>
      </w:docPartObj>
    </w:sdtPr>
    <w:sdtEndPr>
      <w:rPr>
        <w:noProof/>
      </w:rPr>
    </w:sdtEndPr>
    <w:sdtContent>
      <w:p w14:paraId="472C60CD" w14:textId="5899AB3C" w:rsidR="00B8408A" w:rsidRDefault="005379E4" w:rsidP="005379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6CD6" w14:textId="77777777" w:rsidR="00A30550" w:rsidRDefault="00A30550" w:rsidP="007048BE">
      <w:pPr>
        <w:spacing w:before="0" w:after="0" w:line="240" w:lineRule="auto"/>
      </w:pPr>
      <w:r>
        <w:separator/>
      </w:r>
    </w:p>
  </w:footnote>
  <w:footnote w:type="continuationSeparator" w:id="0">
    <w:p w14:paraId="1D1FAB1D" w14:textId="77777777" w:rsidR="00A30550" w:rsidRDefault="00A30550" w:rsidP="007048BE">
      <w:pPr>
        <w:spacing w:before="0" w:after="0" w:line="240" w:lineRule="auto"/>
      </w:pPr>
      <w:r>
        <w:continuationSeparator/>
      </w:r>
    </w:p>
  </w:footnote>
  <w:footnote w:id="1">
    <w:p w14:paraId="3823BD29" w14:textId="3C7B2E09" w:rsidR="008151D6" w:rsidRPr="00241994" w:rsidRDefault="008151D6" w:rsidP="00470FD5">
      <w:pPr>
        <w:spacing w:before="0" w:after="0" w:line="240" w:lineRule="auto"/>
        <w:rPr>
          <w:rFonts w:cs="Arial"/>
          <w:sz w:val="18"/>
          <w:szCs w:val="18"/>
        </w:rPr>
      </w:pPr>
      <w:r w:rsidRPr="00241994">
        <w:rPr>
          <w:rStyle w:val="FootnoteReference"/>
          <w:rFonts w:cs="Arial"/>
          <w:sz w:val="18"/>
          <w:szCs w:val="18"/>
        </w:rPr>
        <w:footnoteRef/>
      </w:r>
      <w:r w:rsidR="00072F9B" w:rsidRPr="00241994">
        <w:rPr>
          <w:rFonts w:cs="Arial"/>
          <w:sz w:val="18"/>
          <w:szCs w:val="18"/>
        </w:rPr>
        <w:t xml:space="preserve">The existing </w:t>
      </w:r>
      <w:r w:rsidR="00851F75">
        <w:rPr>
          <w:rFonts w:cs="Arial"/>
          <w:sz w:val="18"/>
          <w:szCs w:val="18"/>
        </w:rPr>
        <w:t>papers in the graduation model literature</w:t>
      </w:r>
      <w:r w:rsidR="00072F9B" w:rsidRPr="00241994">
        <w:rPr>
          <w:rFonts w:cs="Arial"/>
          <w:sz w:val="18"/>
          <w:szCs w:val="18"/>
        </w:rPr>
        <w:t xml:space="preserve"> generally do not measure or report any effects on child nutrition or anthropometric status, though </w:t>
      </w:r>
      <w:r w:rsidR="00851F75">
        <w:rPr>
          <w:rFonts w:cs="Arial"/>
          <w:sz w:val="18"/>
          <w:szCs w:val="18"/>
        </w:rPr>
        <w:t>Banerjee et al.</w:t>
      </w:r>
      <w:r w:rsidR="00072F9B" w:rsidRPr="00241994">
        <w:rPr>
          <w:rFonts w:cs="Arial"/>
          <w:sz w:val="18"/>
          <w:szCs w:val="18"/>
        </w:rPr>
        <w:t xml:space="preserve"> present</w:t>
      </w:r>
      <w:r w:rsidR="00851F75">
        <w:rPr>
          <w:rFonts w:cs="Arial"/>
          <w:sz w:val="18"/>
          <w:szCs w:val="18"/>
        </w:rPr>
        <w:t>s</w:t>
      </w:r>
      <w:r w:rsidR="00072F9B" w:rsidRPr="00241994">
        <w:rPr>
          <w:rFonts w:cs="Arial"/>
          <w:sz w:val="18"/>
          <w:szCs w:val="18"/>
        </w:rPr>
        <w:t xml:space="preserve"> evidence of positive effects on an index of adult health, and </w:t>
      </w:r>
      <w:r w:rsidR="00851F75">
        <w:rPr>
          <w:rFonts w:cs="Arial"/>
          <w:sz w:val="18"/>
          <w:szCs w:val="18"/>
        </w:rPr>
        <w:t xml:space="preserve">Bedoya et al. </w:t>
      </w:r>
      <w:r w:rsidR="00072F9B" w:rsidRPr="00241994">
        <w:rPr>
          <w:rFonts w:cs="Arial"/>
          <w:sz w:val="18"/>
          <w:szCs w:val="18"/>
        </w:rPr>
        <w:t>show</w:t>
      </w:r>
      <w:r w:rsidR="00851F75">
        <w:rPr>
          <w:rFonts w:cs="Arial"/>
          <w:sz w:val="18"/>
          <w:szCs w:val="18"/>
        </w:rPr>
        <w:t xml:space="preserve">s </w:t>
      </w:r>
      <w:r w:rsidR="00072F9B" w:rsidRPr="00241994">
        <w:rPr>
          <w:rFonts w:cs="Arial"/>
          <w:sz w:val="18"/>
          <w:szCs w:val="18"/>
        </w:rPr>
        <w:t>positive effects in reducing the incidence of child diarrhea</w:t>
      </w:r>
      <w:r w:rsidR="00C60332" w:rsidRPr="00241994">
        <w:rPr>
          <w:rFonts w:cs="Arial"/>
          <w:sz w:val="18"/>
          <w:szCs w:val="18"/>
        </w:rPr>
        <w:t>.</w:t>
      </w:r>
      <w:r w:rsidR="00C60332">
        <w:rPr>
          <w:rFonts w:cs="Arial"/>
          <w:sz w:val="18"/>
          <w:szCs w:val="18"/>
        </w:rPr>
        <w:t xml:space="preserve"> </w:t>
      </w:r>
      <w:r w:rsidR="00963BCE" w:rsidRPr="00241994">
        <w:rPr>
          <w:rFonts w:cs="Arial"/>
          <w:sz w:val="18"/>
          <w:szCs w:val="18"/>
        </w:rPr>
        <w:t>The positive effects on consumption and food security are promising, but positive effects on household-level indices do not necessarily generate positive effects on more specific variables capturing child malnutrition</w:t>
      </w:r>
      <w:r w:rsidR="005F5C7F">
        <w:rPr>
          <w:rFonts w:cs="Arial"/>
          <w:sz w:val="18"/>
          <w:szCs w:val="18"/>
        </w:rPr>
        <w:t xml:space="preserve">, as </w:t>
      </w:r>
      <w:r w:rsidR="006871DA">
        <w:rPr>
          <w:rFonts w:cs="Arial"/>
          <w:sz w:val="18"/>
          <w:szCs w:val="18"/>
        </w:rPr>
        <w:t xml:space="preserve">demonstrated by the meta-analyses studying the impacts of </w:t>
      </w:r>
      <w:r w:rsidR="005F5C7F">
        <w:rPr>
          <w:rFonts w:cs="Arial"/>
          <w:sz w:val="18"/>
          <w:szCs w:val="18"/>
        </w:rPr>
        <w:t>cash</w:t>
      </w:r>
      <w:r w:rsidR="006871DA">
        <w:rPr>
          <w:rFonts w:cs="Arial"/>
          <w:sz w:val="18"/>
          <w:szCs w:val="18"/>
        </w:rPr>
        <w:t xml:space="preserve"> </w:t>
      </w:r>
      <w:r w:rsidR="005F5C7F">
        <w:rPr>
          <w:rFonts w:cs="Arial"/>
          <w:sz w:val="18"/>
          <w:szCs w:val="18"/>
        </w:rPr>
        <w:t>transfer</w:t>
      </w:r>
      <w:r w:rsidR="006871DA">
        <w:rPr>
          <w:rFonts w:cs="Arial"/>
          <w:sz w:val="18"/>
          <w:szCs w:val="18"/>
        </w:rPr>
        <w:t xml:space="preserve">s on children’s </w:t>
      </w:r>
      <w:r w:rsidR="006871DA" w:rsidRPr="006871DA">
        <w:rPr>
          <w:rFonts w:cs="Arial"/>
          <w:sz w:val="18"/>
          <w:szCs w:val="18"/>
        </w:rPr>
        <w:t>nutritional outcomes</w:t>
      </w:r>
      <w:r w:rsidR="006871DA">
        <w:rPr>
          <w:rFonts w:cs="Arial"/>
          <w:sz w:val="18"/>
          <w:szCs w:val="18"/>
        </w:rPr>
        <w:t xml:space="preserve"> </w:t>
      </w:r>
      <w:r w:rsidR="006871DA">
        <w:rPr>
          <w:rFonts w:cs="Arial"/>
          <w:sz w:val="18"/>
          <w:szCs w:val="18"/>
        </w:rPr>
        <w:fldChar w:fldCharType="begin"/>
      </w:r>
      <w:r w:rsidR="00C60332">
        <w:rPr>
          <w:rFonts w:cs="Arial"/>
          <w:sz w:val="18"/>
          <w:szCs w:val="18"/>
        </w:rPr>
        <w:instrText xml:space="preserve"> ADDIN EN.CITE &lt;EndNote&gt;&lt;Cite&gt;&lt;Author&gt;Manley&lt;/Author&gt;&lt;Year&gt;2022&lt;/Year&gt;&lt;RecNum&gt;4080&lt;/RecNum&gt;&lt;DisplayText&gt;(Manley et al., 2022; Manley et al., 2020)&lt;/DisplayText&gt;&lt;record&gt;&lt;rec-number&gt;4080&lt;/rec-number&gt;&lt;foreign-keys&gt;&lt;key app="EN" db-id="9x0erf0zjf29fkerve3vt0te2rwzx959avzx" timestamp="1670502813"&gt;4080&lt;/key&gt;&lt;/foreign-keys&gt;&lt;ref-type name="Journal Article"&gt;17&lt;/ref-type&gt;&lt;contributors&gt;&lt;authors&gt;&lt;author&gt;Manley, James&lt;/author&gt;&lt;author&gt;Alderman, Harold&lt;/author&gt;&lt;author&gt;Gentilini, Ugo&lt;/author&gt;&lt;/authors&gt;&lt;/contributors&gt;&lt;titles&gt;&lt;title&gt;More evidence on cash transfers and child nutritional outcomes: a systematic review and meta-analysis&lt;/title&gt;&lt;secondary-title&gt;BMJ global health&lt;/secondary-title&gt;&lt;/titles&gt;&lt;periodical&gt;&lt;full-title&gt;BMJ global health&lt;/full-title&gt;&lt;/periodical&gt;&lt;pages&gt;e008233&lt;/pages&gt;&lt;volume&gt;7&lt;/volume&gt;&lt;number&gt;4&lt;/number&gt;&lt;dates&gt;&lt;year&gt;2022&lt;/year&gt;&lt;/dates&gt;&lt;isbn&gt;2059-7908&lt;/isbn&gt;&lt;urls&gt;&lt;/urls&gt;&lt;/record&gt;&lt;/Cite&gt;&lt;Cite&gt;&lt;Author&gt;Manley&lt;/Author&gt;&lt;Year&gt;2020&lt;/Year&gt;&lt;RecNum&gt;3916&lt;/RecNum&gt;&lt;record&gt;&lt;rec-number&gt;3916&lt;/rec-number&gt;&lt;foreign-keys&gt;&lt;key app="EN" db-id="9x0erf0zjf29fkerve3vt0te2rwzx959avzx" timestamp="1639571893"&gt;3916&lt;/key&gt;&lt;/foreign-keys&gt;&lt;ref-type name="Journal Article"&gt;17&lt;/ref-type&gt;&lt;contributors&gt;&lt;authors&gt;&lt;author&gt;Manley, James&lt;/author&gt;&lt;author&gt;Balarajan, Yarlini&lt;/author&gt;&lt;author&gt;Malm, Shahira&lt;/author&gt;&lt;author&gt;Harman, Luke&lt;/author&gt;&lt;author&gt;Owens, Jessica&lt;/author&gt;&lt;author&gt;Murthy, Sheila&lt;/author&gt;&lt;author&gt;Stewart, David&lt;/author&gt;&lt;author&gt;Winder-Rossi, Natalia Elena&lt;/author&gt;&lt;author&gt;Khurshid, Atif&lt;/author&gt;&lt;/authors&gt;&lt;/contributors&gt;&lt;titles&gt;&lt;title&gt;Cash transfers and child nutritional outcomes: a systematic review and meta-analysis&lt;/title&gt;&lt;secondary-title&gt;BMJ Global Health&lt;/secondary-title&gt;&lt;/titles&gt;&lt;periodical&gt;&lt;full-title&gt;BMJ global health&lt;/full-title&gt;&lt;/periodical&gt;&lt;pages&gt;e003621&lt;/pages&gt;&lt;volume&gt;5&lt;/volume&gt;&lt;number&gt;12&lt;/number&gt;&lt;dates&gt;&lt;year&gt;2020&lt;/year&gt;&lt;/dates&gt;&lt;isbn&gt;2059-7908&lt;/isbn&gt;&lt;urls&gt;&lt;/urls&gt;&lt;/record&gt;&lt;/Cite&gt;&lt;/EndNote&gt;</w:instrText>
      </w:r>
      <w:r w:rsidR="006871DA">
        <w:rPr>
          <w:rFonts w:cs="Arial"/>
          <w:sz w:val="18"/>
          <w:szCs w:val="18"/>
        </w:rPr>
        <w:fldChar w:fldCharType="separate"/>
      </w:r>
      <w:r w:rsidR="00C60332">
        <w:rPr>
          <w:rFonts w:cs="Arial"/>
          <w:noProof/>
          <w:sz w:val="18"/>
          <w:szCs w:val="18"/>
        </w:rPr>
        <w:t>(Manley et al., 2022; Manley et al., 2020)</w:t>
      </w:r>
      <w:r w:rsidR="006871DA">
        <w:rPr>
          <w:rFonts w:cs="Arial"/>
          <w:sz w:val="18"/>
          <w:szCs w:val="18"/>
        </w:rPr>
        <w:fldChar w:fldCharType="end"/>
      </w:r>
      <w:r w:rsidR="00963BCE" w:rsidRPr="00241994">
        <w:rPr>
          <w:rFonts w:cs="Arial"/>
          <w:sz w:val="18"/>
          <w:szCs w:val="18"/>
        </w:rPr>
        <w:t>.</w:t>
      </w:r>
      <w:r w:rsidR="002C4495">
        <w:rPr>
          <w:rFonts w:cs="Arial"/>
          <w:sz w:val="18"/>
          <w:szCs w:val="18"/>
        </w:rPr>
        <w:t xml:space="preserve">  </w:t>
      </w:r>
      <w:r w:rsidR="002C4495">
        <w:rPr>
          <w:rFonts w:cs="Arial"/>
          <w:sz w:val="18"/>
          <w:szCs w:val="18"/>
        </w:rPr>
        <w:fldChar w:fldCharType="begin"/>
      </w:r>
      <w:r w:rsidR="002C4495">
        <w:rPr>
          <w:rFonts w:cs="Arial"/>
          <w:sz w:val="18"/>
          <w:szCs w:val="18"/>
        </w:rPr>
        <w:instrText xml:space="preserve"> ADDIN EN.CITE &lt;EndNote&gt;&lt;Cite AuthorYear="1"&gt;&lt;Author&gt;Raza&lt;/Author&gt;&lt;Year&gt;2018&lt;/Year&gt;&lt;RecNum&gt;4188&lt;/RecNum&gt;&lt;DisplayText&gt;Raza et al. (2018)&lt;/DisplayText&gt;&lt;record&gt;&lt;rec-number&gt;4188&lt;/rec-number&gt;&lt;foreign-keys&gt;&lt;key app="EN" db-id="9x0erf0zjf29fkerve3vt0te2rwzx959avzx" timestamp="1693131632"&gt;4188&lt;/key&gt;&lt;/foreign-keys&gt;&lt;ref-type name="Journal Article"&gt;17&lt;/ref-type&gt;&lt;contributors&gt;&lt;authors&gt;&lt;author&gt;Raza, Wameq A&lt;/author&gt;&lt;author&gt;Van de Poel, Ellen&lt;/author&gt;&lt;author&gt;Van Ourti, Tom&lt;/author&gt;&lt;/authors&gt;&lt;/contributors&gt;&lt;titles&gt;&lt;title&gt;Impact and spill-over effects of an asset transfer program on child undernutrition: Evidence from a randomized control trial in Bangladesh&lt;/title&gt;&lt;secondary-title&gt;Journal of Health Economics&lt;/secondary-title&gt;&lt;/titles&gt;&lt;periodical&gt;&lt;full-title&gt;Journal of Health Economics&lt;/full-title&gt;&lt;abbr-1&gt;Journal of health economics&lt;/abbr-1&gt;&lt;/periodical&gt;&lt;pages&gt;105-120&lt;/pages&gt;&lt;volume&gt;62&lt;/volume&gt;&lt;dates&gt;&lt;year&gt;2018&lt;/year&gt;&lt;/dates&gt;&lt;isbn&gt;0167-6296&lt;/isbn&gt;&lt;urls&gt;&lt;/urls&gt;&lt;/record&gt;&lt;/Cite&gt;&lt;/EndNote&gt;</w:instrText>
      </w:r>
      <w:r w:rsidR="002C4495">
        <w:rPr>
          <w:rFonts w:cs="Arial"/>
          <w:sz w:val="18"/>
          <w:szCs w:val="18"/>
        </w:rPr>
        <w:fldChar w:fldCharType="separate"/>
      </w:r>
      <w:r w:rsidR="002C4495">
        <w:rPr>
          <w:rFonts w:cs="Arial"/>
          <w:noProof/>
          <w:sz w:val="18"/>
          <w:szCs w:val="18"/>
        </w:rPr>
        <w:t>Raza et al. (2018)</w:t>
      </w:r>
      <w:r w:rsidR="002C4495">
        <w:rPr>
          <w:rFonts w:cs="Arial"/>
          <w:sz w:val="18"/>
          <w:szCs w:val="18"/>
        </w:rPr>
        <w:fldChar w:fldCharType="end"/>
      </w:r>
      <w:r w:rsidR="002C4495" w:rsidRPr="008A4BBC">
        <w:rPr>
          <w:rFonts w:cs="Arial"/>
          <w:sz w:val="18"/>
          <w:szCs w:val="18"/>
        </w:rPr>
        <w:t xml:space="preserve"> </w:t>
      </w:r>
      <w:r w:rsidR="00851F75">
        <w:rPr>
          <w:rFonts w:cs="Arial"/>
          <w:sz w:val="18"/>
          <w:szCs w:val="18"/>
        </w:rPr>
        <w:t>is the only relevant paper here,</w:t>
      </w:r>
      <w:r w:rsidR="002C4495">
        <w:rPr>
          <w:rFonts w:cs="Arial"/>
          <w:sz w:val="18"/>
          <w:szCs w:val="18"/>
        </w:rPr>
        <w:t xml:space="preserve"> </w:t>
      </w:r>
      <w:r w:rsidR="00851F75">
        <w:rPr>
          <w:rFonts w:cs="Arial"/>
          <w:sz w:val="18"/>
          <w:szCs w:val="18"/>
        </w:rPr>
        <w:t>and uses</w:t>
      </w:r>
      <w:r w:rsidR="002C4495" w:rsidRPr="008A4BBC">
        <w:rPr>
          <w:rFonts w:cs="Arial"/>
          <w:sz w:val="18"/>
          <w:szCs w:val="18"/>
        </w:rPr>
        <w:t xml:space="preserve"> the Targeting the Ultra-Poor (TUP) evaluation data </w:t>
      </w:r>
      <w:r w:rsidR="002C4495">
        <w:rPr>
          <w:rFonts w:cs="Arial"/>
          <w:sz w:val="18"/>
          <w:szCs w:val="18"/>
        </w:rPr>
        <w:fldChar w:fldCharType="begin"/>
      </w:r>
      <w:r w:rsidR="002C4495">
        <w:rPr>
          <w:rFonts w:cs="Arial"/>
          <w:sz w:val="18"/>
          <w:szCs w:val="18"/>
        </w:rPr>
        <w:instrText xml:space="preserve"> ADDIN EN.CITE &lt;EndNote&gt;&lt;Cite&gt;&lt;Author&gt;Bandiera&lt;/Author&gt;&lt;Year&gt;2017&lt;/Year&gt;&lt;RecNum&gt;2104&lt;/RecNum&gt;&lt;DisplayText&gt;(Bandiera et al., 2017)&lt;/DisplayText&gt;&lt;record&gt;&lt;rec-number&gt;2104&lt;/rec-number&gt;&lt;foreign-keys&gt;&lt;key app="EN" db-id="9x0erf0zjf29fkerve3vt0te2rwzx959avzx" timestamp="1534668879"&gt;2104&lt;/key&gt;&lt;/foreign-keys&gt;&lt;ref-type name="Journal Article"&gt;17&lt;/ref-type&gt;&lt;contributors&gt;&lt;authors&gt;&lt;author&gt;Bandiera, Oriana&lt;/author&gt;&lt;author&gt;Burgess, Robin&lt;/author&gt;&lt;author&gt;Das, Narayan&lt;/author&gt;&lt;author&gt;Gulesci, Selim&lt;/author&gt;&lt;author&gt;Rasul, Imran&lt;/author&gt;&lt;author&gt;Sulaiman, Munshi&lt;/author&gt;&lt;/authors&gt;&lt;/contributors&gt;&lt;titles&gt;&lt;title&gt;Labor markets and poverty in village economies&lt;/title&gt;&lt;secondary-title&gt;The Quarterly Journal of Economics&lt;/secondary-title&gt;&lt;/titles&gt;&lt;periodical&gt;&lt;full-title&gt;The Quarterly Journal of Economics&lt;/full-title&gt;&lt;/periodical&gt;&lt;pages&gt;811-870&lt;/pages&gt;&lt;volume&gt;132&lt;/volume&gt;&lt;number&gt;2&lt;/number&gt;&lt;dates&gt;&lt;year&gt;2017&lt;/year&gt;&lt;/dates&gt;&lt;isbn&gt;0033-5533&lt;/isbn&gt;&lt;urls&gt;&lt;/urls&gt;&lt;/record&gt;&lt;/Cite&gt;&lt;/EndNote&gt;</w:instrText>
      </w:r>
      <w:r w:rsidR="002C4495">
        <w:rPr>
          <w:rFonts w:cs="Arial"/>
          <w:sz w:val="18"/>
          <w:szCs w:val="18"/>
        </w:rPr>
        <w:fldChar w:fldCharType="separate"/>
      </w:r>
      <w:r w:rsidR="002C4495">
        <w:rPr>
          <w:rFonts w:cs="Arial"/>
          <w:noProof/>
          <w:sz w:val="18"/>
          <w:szCs w:val="18"/>
        </w:rPr>
        <w:t>(Bandiera et al., 2017)</w:t>
      </w:r>
      <w:r w:rsidR="002C4495">
        <w:rPr>
          <w:rFonts w:cs="Arial"/>
          <w:sz w:val="18"/>
          <w:szCs w:val="18"/>
        </w:rPr>
        <w:fldChar w:fldCharType="end"/>
      </w:r>
      <w:r w:rsidR="002C4495">
        <w:rPr>
          <w:rFonts w:cs="Arial"/>
          <w:sz w:val="18"/>
          <w:szCs w:val="18"/>
        </w:rPr>
        <w:t xml:space="preserve"> </w:t>
      </w:r>
      <w:r w:rsidR="002C4495" w:rsidRPr="008A4BBC">
        <w:rPr>
          <w:rFonts w:cs="Arial"/>
          <w:sz w:val="18"/>
          <w:szCs w:val="18"/>
        </w:rPr>
        <w:t xml:space="preserve">to estimate the program’s impact on child nutrition. </w:t>
      </w:r>
      <w:r w:rsidR="00851F75">
        <w:rPr>
          <w:rFonts w:cs="Arial"/>
          <w:sz w:val="18"/>
          <w:szCs w:val="18"/>
        </w:rPr>
        <w:t>The analysis does document</w:t>
      </w:r>
      <w:r w:rsidR="002C4495">
        <w:rPr>
          <w:rFonts w:cs="Arial"/>
          <w:sz w:val="18"/>
          <w:szCs w:val="18"/>
        </w:rPr>
        <w:t xml:space="preserve"> positive effects on indicators capturing </w:t>
      </w:r>
      <w:r w:rsidR="002C4495" w:rsidRPr="008A4BBC">
        <w:rPr>
          <w:rFonts w:cs="Arial"/>
          <w:sz w:val="18"/>
          <w:szCs w:val="18"/>
        </w:rPr>
        <w:t>acute undernutrition</w:t>
      </w:r>
      <w:r w:rsidR="002C4495">
        <w:rPr>
          <w:rFonts w:cs="Arial"/>
          <w:sz w:val="18"/>
          <w:szCs w:val="18"/>
        </w:rPr>
        <w:t xml:space="preserve"> </w:t>
      </w:r>
      <w:r w:rsidR="002C4495" w:rsidRPr="008A4BBC">
        <w:rPr>
          <w:rFonts w:cs="Arial"/>
          <w:sz w:val="18"/>
          <w:szCs w:val="18"/>
        </w:rPr>
        <w:t xml:space="preserve">but </w:t>
      </w:r>
      <w:r w:rsidR="002C4495">
        <w:rPr>
          <w:rFonts w:cs="Arial"/>
          <w:sz w:val="18"/>
          <w:szCs w:val="18"/>
        </w:rPr>
        <w:t xml:space="preserve">the impacts on </w:t>
      </w:r>
      <w:r w:rsidR="002C4495" w:rsidRPr="008A4BBC">
        <w:rPr>
          <w:rFonts w:cs="Arial"/>
          <w:sz w:val="18"/>
          <w:szCs w:val="18"/>
        </w:rPr>
        <w:t>chronic undernutrition</w:t>
      </w:r>
      <w:r w:rsidR="002C4495">
        <w:rPr>
          <w:rFonts w:cs="Arial"/>
          <w:sz w:val="18"/>
          <w:szCs w:val="18"/>
        </w:rPr>
        <w:t xml:space="preserve"> outcomes are not </w:t>
      </w:r>
      <w:r w:rsidR="00851F75">
        <w:rPr>
          <w:rFonts w:cs="Arial"/>
          <w:sz w:val="18"/>
          <w:szCs w:val="18"/>
        </w:rPr>
        <w:t xml:space="preserve">significantly </w:t>
      </w:r>
      <w:r w:rsidR="002C4495">
        <w:rPr>
          <w:rFonts w:cs="Arial"/>
          <w:sz w:val="18"/>
          <w:szCs w:val="18"/>
        </w:rPr>
        <w:t>different from zero</w:t>
      </w:r>
      <w:r w:rsidR="002C4495" w:rsidRPr="008A4BBC">
        <w:rPr>
          <w:rFonts w:cs="Arial"/>
          <w:sz w:val="18"/>
          <w:szCs w:val="18"/>
        </w:rPr>
        <w:t xml:space="preserve">, possibly due to the relatively small number of young children in the </w:t>
      </w:r>
      <w:r w:rsidR="002C4495">
        <w:rPr>
          <w:rFonts w:cs="Arial"/>
          <w:sz w:val="18"/>
          <w:szCs w:val="18"/>
        </w:rPr>
        <w:t>data</w:t>
      </w:r>
      <w:r w:rsidR="002C4495" w:rsidRPr="008A4BBC">
        <w:rPr>
          <w:rFonts w:cs="Arial"/>
          <w:sz w:val="18"/>
          <w:szCs w:val="18"/>
        </w:rPr>
        <w:t>.</w:t>
      </w:r>
    </w:p>
  </w:footnote>
  <w:footnote w:id="2">
    <w:p w14:paraId="3E0D363E" w14:textId="48D38BB3" w:rsidR="00A017E9" w:rsidRPr="00A017E9" w:rsidRDefault="00A017E9" w:rsidP="00F534DC">
      <w:pPr>
        <w:pStyle w:val="FootnoteText"/>
        <w:spacing w:before="0" w:after="0" w:line="240" w:lineRule="auto"/>
      </w:pPr>
      <w:r w:rsidRPr="009812BD">
        <w:rPr>
          <w:rStyle w:val="FootnoteReference"/>
          <w:rFonts w:ascii="Arial" w:hAnsi="Arial" w:cs="Arial"/>
          <w:sz w:val="18"/>
          <w:szCs w:val="18"/>
          <w:lang w:val="en-US"/>
        </w:rPr>
        <w:footnoteRef/>
      </w:r>
      <w:r w:rsidRPr="009812BD">
        <w:rPr>
          <w:rFonts w:ascii="Arial" w:hAnsi="Arial" w:cs="Arial"/>
          <w:sz w:val="18"/>
          <w:szCs w:val="18"/>
          <w:lang w:val="en-US"/>
        </w:rPr>
        <w:t xml:space="preserve"> </w:t>
      </w:r>
      <w:r w:rsidRPr="009812BD">
        <w:rPr>
          <w:rFonts w:ascii="Arial" w:hAnsi="Arial" w:cs="Arial"/>
          <w:i/>
          <w:iCs/>
          <w:sz w:val="18"/>
          <w:szCs w:val="18"/>
          <w:lang w:val="en-US"/>
        </w:rPr>
        <w:t>Nutrition-specific interventions</w:t>
      </w:r>
      <w:r w:rsidRPr="009812BD">
        <w:rPr>
          <w:rFonts w:ascii="Arial" w:hAnsi="Arial" w:cs="Arial"/>
          <w:sz w:val="18"/>
          <w:szCs w:val="18"/>
          <w:lang w:val="en-US"/>
        </w:rPr>
        <w:t xml:space="preserve"> target immediate determinants of fetal and child nutrition, emphasizing factors </w:t>
      </w:r>
      <w:r w:rsidR="00851F75">
        <w:rPr>
          <w:rFonts w:ascii="Arial" w:hAnsi="Arial" w:cs="Arial"/>
          <w:sz w:val="18"/>
          <w:szCs w:val="18"/>
          <w:lang w:val="en-US"/>
        </w:rPr>
        <w:t>such as</w:t>
      </w:r>
      <w:r w:rsidRPr="009812BD">
        <w:rPr>
          <w:rFonts w:ascii="Arial" w:hAnsi="Arial" w:cs="Arial"/>
          <w:sz w:val="18"/>
          <w:szCs w:val="18"/>
          <w:lang w:val="en-US"/>
        </w:rPr>
        <w:t xml:space="preserve"> nutrient intake and disease management. In contrast, </w:t>
      </w:r>
      <w:r w:rsidRPr="009812BD">
        <w:rPr>
          <w:rFonts w:ascii="Arial" w:hAnsi="Arial" w:cs="Arial"/>
          <w:i/>
          <w:iCs/>
          <w:sz w:val="18"/>
          <w:szCs w:val="18"/>
          <w:lang w:val="en-US"/>
        </w:rPr>
        <w:t>nutrition-sensitive interventions</w:t>
      </w:r>
      <w:r w:rsidRPr="009812BD">
        <w:rPr>
          <w:rFonts w:ascii="Arial" w:hAnsi="Arial" w:cs="Arial"/>
          <w:sz w:val="18"/>
          <w:szCs w:val="18"/>
          <w:lang w:val="en-US"/>
        </w:rPr>
        <w:t xml:space="preserve"> address underlying factors such as food security, caregiving resources, and access to healthcare, incorporating specific nutrition goals</w:t>
      </w:r>
      <w:r w:rsidR="009812BD">
        <w:rPr>
          <w:rFonts w:ascii="Arial" w:hAnsi="Arial" w:cs="Arial"/>
          <w:sz w:val="18"/>
          <w:szCs w:val="18"/>
          <w:lang w:val="en-US"/>
        </w:rPr>
        <w:t xml:space="preserve"> </w:t>
      </w:r>
      <w:r w:rsidR="009812BD" w:rsidRPr="009812BD">
        <w:rPr>
          <w:rFonts w:ascii="Arial" w:hAnsi="Arial" w:cs="Arial"/>
          <w:sz w:val="18"/>
          <w:szCs w:val="18"/>
          <w:lang w:val="en-US"/>
        </w:rPr>
        <w:t>within these contexts</w:t>
      </w:r>
      <w:r w:rsidR="00F61D8E">
        <w:rPr>
          <w:rFonts w:ascii="Arial" w:hAnsi="Arial" w:cs="Arial"/>
          <w:sz w:val="18"/>
          <w:szCs w:val="18"/>
          <w:lang w:val="en-US"/>
        </w:rPr>
        <w:t xml:space="preserve"> </w:t>
      </w:r>
      <w:r w:rsidR="00F61D8E">
        <w:rPr>
          <w:rFonts w:ascii="Arial" w:hAnsi="Arial" w:cs="Arial"/>
          <w:sz w:val="18"/>
          <w:szCs w:val="18"/>
          <w:lang w:val="en-US"/>
        </w:rPr>
        <w:fldChar w:fldCharType="begin"/>
      </w:r>
      <w:r w:rsidR="00F61D8E">
        <w:rPr>
          <w:rFonts w:ascii="Arial" w:hAnsi="Arial" w:cs="Arial"/>
          <w:sz w:val="18"/>
          <w:szCs w:val="18"/>
          <w:lang w:val="en-US"/>
        </w:rPr>
        <w:instrText xml:space="preserve"> ADDIN EN.CITE &lt;EndNote&gt;&lt;Cite&gt;&lt;Author&gt;Ruel&lt;/Author&gt;&lt;Year&gt;2013&lt;/Year&gt;&lt;RecNum&gt;1041&lt;/RecNum&gt;&lt;DisplayText&gt;(Ruel and Alderman, 2013)&lt;/DisplayText&gt;&lt;record&gt;&lt;rec-number&gt;1041&lt;/rec-number&gt;&lt;foreign-keys&gt;&lt;key app="EN" db-id="9x0erf0zjf29fkerve3vt0te2rwzx959avzx" timestamp="0"&gt;1041&lt;/key&gt;&lt;/foreign-keys&gt;&lt;ref-type name="Journal Article"&gt;17&lt;/ref-type&gt;&lt;contributors&gt;&lt;authors&gt;&lt;author&gt;Ruel, Marie T&lt;/author&gt;&lt;author&gt;Alderman, Harold&lt;/author&gt;&lt;/authors&gt;&lt;/contributors&gt;&lt;titles&gt;&lt;title&gt;Nutrition-sensitive interventions and programmes: how can they help to accelerate progress in improving maternal and child nutrition?&lt;/title&gt;&lt;secondary-title&gt;The Lancet&lt;/secondary-title&gt;&lt;/titles&gt;&lt;periodical&gt;&lt;full-title&gt;The Lancet&lt;/full-title&gt;&lt;/periodical&gt;&lt;pages&gt;536-551&lt;/pages&gt;&lt;volume&gt;382&lt;/volume&gt;&lt;number&gt;9891&lt;/number&gt;&lt;dates&gt;&lt;year&gt;2013&lt;/year&gt;&lt;/dates&gt;&lt;isbn&gt;0140-6736&lt;/isbn&gt;&lt;urls&gt;&lt;/urls&gt;&lt;/record&gt;&lt;/Cite&gt;&lt;/EndNote&gt;</w:instrText>
      </w:r>
      <w:r w:rsidR="00F61D8E">
        <w:rPr>
          <w:rFonts w:ascii="Arial" w:hAnsi="Arial" w:cs="Arial"/>
          <w:sz w:val="18"/>
          <w:szCs w:val="18"/>
          <w:lang w:val="en-US"/>
        </w:rPr>
        <w:fldChar w:fldCharType="separate"/>
      </w:r>
      <w:r w:rsidR="00F61D8E">
        <w:rPr>
          <w:rFonts w:ascii="Arial" w:hAnsi="Arial" w:cs="Arial"/>
          <w:noProof/>
          <w:sz w:val="18"/>
          <w:szCs w:val="18"/>
          <w:lang w:val="en-US"/>
        </w:rPr>
        <w:t>(Ruel and Alderman, 2013)</w:t>
      </w:r>
      <w:r w:rsidR="00F61D8E">
        <w:rPr>
          <w:rFonts w:ascii="Arial" w:hAnsi="Arial" w:cs="Arial"/>
          <w:sz w:val="18"/>
          <w:szCs w:val="18"/>
          <w:lang w:val="en-US"/>
        </w:rPr>
        <w:fldChar w:fldCharType="end"/>
      </w:r>
      <w:r w:rsidRPr="009812BD">
        <w:rPr>
          <w:rFonts w:ascii="Arial" w:hAnsi="Arial" w:cs="Arial"/>
          <w:sz w:val="18"/>
          <w:szCs w:val="18"/>
          <w:lang w:val="en-US"/>
        </w:rPr>
        <w:t>.</w:t>
      </w:r>
    </w:p>
  </w:footnote>
  <w:footnote w:id="3">
    <w:p w14:paraId="40BF5FDC" w14:textId="1FD83CDD" w:rsidR="009F6787" w:rsidRPr="0097614C" w:rsidRDefault="009F6787" w:rsidP="00F534DC">
      <w:pPr>
        <w:pStyle w:val="FootnoteText"/>
        <w:spacing w:before="0" w:after="0" w:line="240" w:lineRule="auto"/>
        <w:rPr>
          <w:rFonts w:ascii="Arial" w:hAnsi="Arial" w:cs="Arial"/>
          <w:sz w:val="18"/>
          <w:szCs w:val="18"/>
          <w:lang w:val="en-US"/>
        </w:rPr>
      </w:pPr>
      <w:r w:rsidRPr="00241994">
        <w:rPr>
          <w:rStyle w:val="FootnoteReference"/>
          <w:rFonts w:ascii="Arial" w:hAnsi="Arial" w:cs="Arial"/>
          <w:sz w:val="18"/>
          <w:szCs w:val="18"/>
          <w:lang w:val="en-US"/>
        </w:rPr>
        <w:footnoteRef/>
      </w:r>
      <w:r w:rsidRPr="00241994">
        <w:rPr>
          <w:rFonts w:ascii="Arial" w:hAnsi="Arial" w:cs="Arial"/>
          <w:sz w:val="18"/>
          <w:szCs w:val="18"/>
          <w:lang w:val="en-US"/>
        </w:rPr>
        <w:t xml:space="preserve"> SPIR II is an acronym for Strengthen PSNP Institutions and Resilience, and is funded by USAID’s Bureau for Humanitarian Assistance (BHA) and implemented by World Vision International (lead), CARE, and ORDA.</w:t>
      </w:r>
      <w:r w:rsidR="00C87DC6" w:rsidRPr="00241994">
        <w:rPr>
          <w:rFonts w:ascii="Arial" w:hAnsi="Arial" w:cs="Arial"/>
          <w:sz w:val="18"/>
          <w:szCs w:val="18"/>
          <w:lang w:val="en-US"/>
        </w:rPr>
        <w:t xml:space="preserve"> The first phase of the program (SPIR I) took place in 2016-2021 and the evaluation results are presented in </w:t>
      </w:r>
      <w:r w:rsidR="00C87DC6" w:rsidRPr="00241994">
        <w:rPr>
          <w:rFonts w:ascii="Arial" w:hAnsi="Arial" w:cs="Arial"/>
          <w:sz w:val="18"/>
          <w:szCs w:val="18"/>
          <w:lang w:val="en-US"/>
        </w:rPr>
        <w:fldChar w:fldCharType="begin"/>
      </w:r>
      <w:r w:rsidR="00C87DC6" w:rsidRPr="00241994">
        <w:rPr>
          <w:rFonts w:ascii="Arial" w:hAnsi="Arial" w:cs="Arial"/>
          <w:sz w:val="18"/>
          <w:szCs w:val="18"/>
          <w:lang w:val="en-US"/>
        </w:rPr>
        <w:instrText xml:space="preserve"> ADDIN EN.CITE &lt;EndNote&gt;&lt;Cite AuthorYear="1"&gt;&lt;Author&gt;Alderman&lt;/Author&gt;&lt;Year&gt;2021&lt;/Year&gt;&lt;RecNum&gt;4104&lt;/RecNum&gt;&lt;DisplayText&gt;Alderman et al. (2021)&lt;/DisplayText&gt;&lt;record&gt;&lt;rec-number&gt;4104&lt;/rec-number&gt;&lt;foreign-keys&gt;&lt;key app="EN" db-id="9x0erf0zjf29fkerve3vt0te2rwzx959avzx" timestamp="1675254877"&gt;4104&lt;/key&gt;&lt;/foreign-keys&gt;&lt;ref-type name="Report"&gt;27&lt;/ref-type&gt;&lt;contributors&gt;&lt;authors&gt;&lt;author&gt;Alderman, Harold&lt;/author&gt;&lt;author&gt;Billings, Lucy&lt;/author&gt;&lt;author&gt;Gilligan, Daniel O.&lt;/author&gt;&lt;author&gt;Hidrobo, Melissa&lt;/author&gt;&lt;author&gt;Leight, Jessica&lt;/author&gt;&lt;author&gt;Taffesse, Alemayehu Seyoum&lt;/author&gt;&lt;author&gt;Tambet, Heleene&lt;/author&gt;&lt;/authors&gt;&lt;/contributors&gt;&lt;titles&gt;&lt;title&gt;Impact evaluation of the strengthen PSNP4 institutions and resilience (SPIR) development food security activity (DFSA): Endline report&lt;/title&gt;&lt;/titles&gt;&lt;dates&gt;&lt;year&gt;2021&lt;/year&gt;&lt;/dates&gt;&lt;pub-location&gt;Washington D.C.&lt;/pub-location&gt;&lt;publisher&gt;International Food Policy Research Institute (IFPRI)&lt;/publisher&gt;&lt;urls&gt;&lt;related-urls&gt;&lt;url&gt;https://ebrary.ifpri.org/digital/collection/p15738coll5/id/8084&lt;/url&gt;&lt;/related-urls&gt;&lt;/urls&gt;&lt;/record&gt;&lt;/Cite&gt;&lt;/EndNote&gt;</w:instrText>
      </w:r>
      <w:r w:rsidR="00C87DC6" w:rsidRPr="00241994">
        <w:rPr>
          <w:rFonts w:ascii="Arial" w:hAnsi="Arial" w:cs="Arial"/>
          <w:sz w:val="18"/>
          <w:szCs w:val="18"/>
          <w:lang w:val="en-US"/>
        </w:rPr>
        <w:fldChar w:fldCharType="separate"/>
      </w:r>
      <w:r w:rsidR="00C87DC6" w:rsidRPr="00241994">
        <w:rPr>
          <w:rFonts w:ascii="Arial" w:hAnsi="Arial" w:cs="Arial"/>
          <w:noProof/>
          <w:sz w:val="18"/>
          <w:szCs w:val="18"/>
          <w:lang w:val="en-US"/>
        </w:rPr>
        <w:t>Alderman et al. (2021)</w:t>
      </w:r>
      <w:r w:rsidR="00C87DC6" w:rsidRPr="00241994">
        <w:rPr>
          <w:rFonts w:ascii="Arial" w:hAnsi="Arial" w:cs="Arial"/>
          <w:sz w:val="18"/>
          <w:szCs w:val="18"/>
          <w:lang w:val="en-US"/>
        </w:rPr>
        <w:fldChar w:fldCharType="end"/>
      </w:r>
      <w:r w:rsidR="00C87DC6" w:rsidRPr="00241994">
        <w:rPr>
          <w:rFonts w:ascii="Arial" w:hAnsi="Arial" w:cs="Arial"/>
          <w:sz w:val="18"/>
          <w:szCs w:val="18"/>
          <w:lang w:val="en-US"/>
        </w:rPr>
        <w:t xml:space="preserve"> and summarized below in Section 2.</w:t>
      </w:r>
      <w:r w:rsidR="00C87DC6">
        <w:rPr>
          <w:rFonts w:ascii="Arial" w:hAnsi="Arial" w:cs="Arial"/>
          <w:sz w:val="18"/>
          <w:szCs w:val="18"/>
          <w:lang w:val="en-US"/>
        </w:rPr>
        <w:t xml:space="preserve"> </w:t>
      </w:r>
    </w:p>
  </w:footnote>
  <w:footnote w:id="4">
    <w:p w14:paraId="6D7DFD33" w14:textId="6B4C0DCF" w:rsidR="009011AB" w:rsidRPr="00775866" w:rsidRDefault="009011AB" w:rsidP="002A1C5A">
      <w:pPr>
        <w:pStyle w:val="FootnoteText"/>
        <w:keepLines/>
        <w:spacing w:line="240" w:lineRule="auto"/>
        <w:contextualSpacing/>
        <w:rPr>
          <w:rFonts w:ascii="Arial" w:hAnsi="Arial" w:cs="Arial"/>
          <w:sz w:val="18"/>
          <w:szCs w:val="18"/>
        </w:rPr>
      </w:pPr>
      <w:r w:rsidRPr="002A1C5A">
        <w:rPr>
          <w:rStyle w:val="FootnoteReference"/>
          <w:rFonts w:ascii="Arial" w:hAnsi="Arial" w:cs="Arial"/>
          <w:sz w:val="18"/>
          <w:szCs w:val="18"/>
        </w:rPr>
        <w:footnoteRef/>
      </w:r>
      <w:r w:rsidRPr="002A1C5A">
        <w:rPr>
          <w:rFonts w:ascii="Arial" w:hAnsi="Arial" w:cs="Arial"/>
          <w:sz w:val="18"/>
          <w:szCs w:val="18"/>
        </w:rPr>
        <w:t xml:space="preserve"> </w:t>
      </w:r>
      <w:r w:rsidRPr="002A1C5A">
        <w:rPr>
          <w:rFonts w:ascii="Arial" w:hAnsi="Arial" w:cs="Arial"/>
          <w:sz w:val="18"/>
          <w:szCs w:val="18"/>
        </w:rPr>
        <w:fldChar w:fldCharType="begin"/>
      </w:r>
      <w:r w:rsidR="00276EF8">
        <w:rPr>
          <w:rFonts w:ascii="Arial" w:hAnsi="Arial" w:cs="Arial"/>
          <w:sz w:val="18"/>
          <w:szCs w:val="18"/>
        </w:rPr>
        <w:instrText xml:space="preserve"> ADDIN EN.CITE &lt;EndNote&gt;&lt;Cite AuthorYear="1"&gt;&lt;Author&gt;Bouguen&lt;/Author&gt;&lt;Year&gt;2019&lt;/Year&gt;&lt;RecNum&gt;4077&lt;/RecNum&gt;&lt;DisplayText&gt;Bouguen and Dillon (2019)&lt;/DisplayText&gt;&lt;record&gt;&lt;rec-number&gt;4077&lt;/rec-number&gt;&lt;foreign-keys&gt;&lt;key app="EN" db-id="9x0erf0zjf29fkerve3vt0te2rwzx959avzx" timestamp="1670237977"&gt;4077&lt;/key&gt;&lt;/foreign-keys&gt;&lt;ref-type name="Journal Article"&gt;17&lt;/ref-type&gt;&lt;contributors&gt;&lt;authors&gt;&lt;author&gt;Bouguen, Adrien&lt;/author&gt;&lt;author&gt;Dillon, Andrew&lt;/author&gt;&lt;/authors&gt;&lt;/contributors&gt;&lt;titles&gt;&lt;title&gt;The impact of a multidimensional program on nutrition and poverty in Burkina Faso&lt;/title&gt;&lt;secondary-title&gt;Journal of Development Economics&lt;/secondary-title&gt;&lt;/titles&gt;&lt;periodical&gt;&lt;full-title&gt;Journal of Development Economics&lt;/full-title&gt;&lt;/periodical&gt;&lt;volume&gt; Pre-results review&lt;/volume&gt;&lt;dates&gt;&lt;year&gt;2019&lt;/year&gt;&lt;/dates&gt;&lt;urls&gt;&lt;related-urls&gt;&lt;url&gt;http://jde-preresultsreview.org/#prospectivearticles&lt;/url&gt;&lt;/related-urls&gt;&lt;/urls&gt;&lt;electronic-resource-num&gt;http://jde-preresultsreview.org/#prospectivearticles&lt;/electronic-resource-num&gt;&lt;/record&gt;&lt;/Cite&gt;&lt;/EndNote&gt;</w:instrText>
      </w:r>
      <w:r w:rsidRPr="002A1C5A">
        <w:rPr>
          <w:rFonts w:ascii="Arial" w:hAnsi="Arial" w:cs="Arial"/>
          <w:sz w:val="18"/>
          <w:szCs w:val="18"/>
        </w:rPr>
        <w:fldChar w:fldCharType="separate"/>
      </w:r>
      <w:r w:rsidR="008517EE">
        <w:rPr>
          <w:rFonts w:ascii="Arial" w:hAnsi="Arial" w:cs="Arial"/>
          <w:noProof/>
          <w:sz w:val="18"/>
          <w:szCs w:val="18"/>
        </w:rPr>
        <w:t>Bouguen and Dillon (2019)</w:t>
      </w:r>
      <w:r w:rsidRPr="002A1C5A">
        <w:rPr>
          <w:rFonts w:ascii="Arial" w:hAnsi="Arial" w:cs="Arial"/>
          <w:sz w:val="18"/>
          <w:szCs w:val="18"/>
        </w:rPr>
        <w:fldChar w:fldCharType="end"/>
      </w:r>
      <w:r w:rsidRPr="002A1C5A">
        <w:rPr>
          <w:rFonts w:ascii="Arial" w:hAnsi="Arial" w:cs="Arial"/>
          <w:sz w:val="18"/>
          <w:szCs w:val="18"/>
        </w:rPr>
        <w:t xml:space="preserve"> assesses the nutritional impacts of a multifaceted graduation program in Burkina Faso. Partnering with international NGOs, the authors assign poor households with a pregnant or lactating women and/or malnourished young child into three study arms: unconditional cash transfer, cash+asset transfer and cash+asset+nutrition arms. The households in the latter nutrition arm received a kitchen garden kit and </w:t>
      </w:r>
      <w:r w:rsidRPr="002A1C5A">
        <w:rPr>
          <w:rFonts w:ascii="Arial" w:eastAsiaTheme="minorHAnsi" w:hAnsi="Arial" w:cs="Arial"/>
          <w:sz w:val="18"/>
          <w:szCs w:val="18"/>
        </w:rPr>
        <w:t xml:space="preserve">iron </w:t>
      </w:r>
      <w:r w:rsidRPr="002A1C5A">
        <w:rPr>
          <w:rFonts w:ascii="Arial" w:hAnsi="Arial" w:cs="Arial"/>
          <w:sz w:val="18"/>
          <w:szCs w:val="18"/>
        </w:rPr>
        <w:t>f</w:t>
      </w:r>
      <w:r w:rsidRPr="002A1C5A">
        <w:rPr>
          <w:rFonts w:ascii="Arial" w:eastAsiaTheme="minorHAnsi" w:hAnsi="Arial" w:cs="Arial"/>
          <w:sz w:val="18"/>
          <w:szCs w:val="18"/>
        </w:rPr>
        <w:t>ortified flour.</w:t>
      </w:r>
      <w:r w:rsidR="002C24D3" w:rsidRPr="002A1C5A">
        <w:rPr>
          <w:rFonts w:ascii="Arial" w:eastAsiaTheme="minorHAnsi" w:hAnsi="Arial" w:cs="Arial"/>
          <w:sz w:val="18"/>
          <w:szCs w:val="18"/>
        </w:rPr>
        <w:t xml:space="preserve">  </w:t>
      </w:r>
    </w:p>
  </w:footnote>
  <w:footnote w:id="5">
    <w:p w14:paraId="0C47E64D" w14:textId="29DD837B" w:rsidR="008B0F37" w:rsidRPr="00AF787C" w:rsidRDefault="008B0F37" w:rsidP="00AF787C">
      <w:pPr>
        <w:pStyle w:val="FootnoteText"/>
        <w:spacing w:line="240" w:lineRule="auto"/>
        <w:contextualSpacing/>
        <w:rPr>
          <w:rFonts w:ascii="Arial" w:hAnsi="Arial" w:cs="Arial"/>
          <w:sz w:val="18"/>
          <w:szCs w:val="18"/>
          <w:lang w:val="en-US"/>
        </w:rPr>
      </w:pPr>
      <w:r w:rsidRPr="00775866">
        <w:rPr>
          <w:rStyle w:val="FootnoteReference"/>
          <w:rFonts w:ascii="Arial" w:hAnsi="Arial" w:cs="Arial"/>
          <w:sz w:val="18"/>
          <w:szCs w:val="18"/>
        </w:rPr>
        <w:footnoteRef/>
      </w:r>
      <w:r w:rsidRPr="00775866">
        <w:rPr>
          <w:rFonts w:ascii="Arial" w:hAnsi="Arial" w:cs="Arial"/>
          <w:sz w:val="18"/>
          <w:szCs w:val="18"/>
        </w:rPr>
        <w:t xml:space="preserve"> </w:t>
      </w:r>
      <w:r w:rsidRPr="00775866">
        <w:rPr>
          <w:rFonts w:ascii="Arial" w:hAnsi="Arial" w:cs="Arial"/>
          <w:sz w:val="18"/>
          <w:szCs w:val="18"/>
          <w:lang w:val="en-US"/>
        </w:rPr>
        <w:t xml:space="preserve">Another </w:t>
      </w:r>
      <w:r w:rsidRPr="00AF787C">
        <w:rPr>
          <w:rFonts w:ascii="Arial" w:hAnsi="Arial" w:cs="Arial"/>
          <w:sz w:val="18"/>
          <w:szCs w:val="18"/>
          <w:lang w:val="en-US"/>
        </w:rPr>
        <w:t>recent paper by part of this author team analyzed the short-term effects of a light-touch graduation model program including either a cash or poultry transfer on the consumption of eggs by women and young children and a select set of other nutritional outcomes</w:t>
      </w:r>
      <w:r w:rsidR="00BE0888" w:rsidRPr="00AF787C">
        <w:rPr>
          <w:rFonts w:ascii="Arial" w:hAnsi="Arial" w:cs="Arial"/>
          <w:sz w:val="18"/>
          <w:szCs w:val="18"/>
          <w:lang w:val="en-US"/>
        </w:rPr>
        <w:t xml:space="preserve"> measured in the short-term, nine months post-transfer</w:t>
      </w:r>
      <w:r w:rsidR="0034208D" w:rsidRPr="00AF787C">
        <w:rPr>
          <w:rFonts w:ascii="Arial" w:hAnsi="Arial" w:cs="Arial"/>
          <w:sz w:val="18"/>
          <w:szCs w:val="18"/>
          <w:lang w:val="en-US"/>
        </w:rPr>
        <w:t xml:space="preserve"> </w:t>
      </w:r>
      <w:r w:rsidR="0034208D" w:rsidRPr="00AF787C">
        <w:rPr>
          <w:rFonts w:ascii="Arial" w:hAnsi="Arial" w:cs="Arial"/>
          <w:sz w:val="18"/>
          <w:szCs w:val="18"/>
          <w:lang w:val="en-US"/>
        </w:rPr>
        <w:fldChar w:fldCharType="begin"/>
      </w:r>
      <w:r w:rsidR="0034208D" w:rsidRPr="00AF787C">
        <w:rPr>
          <w:rFonts w:ascii="Arial" w:hAnsi="Arial" w:cs="Arial"/>
          <w:sz w:val="18"/>
          <w:szCs w:val="18"/>
          <w:lang w:val="en-US"/>
        </w:rPr>
        <w:instrText xml:space="preserve"> ADDIN EN.CITE &lt;EndNote&gt;&lt;Cite&gt;&lt;Author&gt;Alderman&lt;/Author&gt;&lt;Year&gt;2022&lt;/Year&gt;&lt;RecNum&gt;4105&lt;/RecNum&gt;&lt;DisplayText&gt;(Alderman et al., 2022)&lt;/DisplayText&gt;&lt;record&gt;&lt;rec-number&gt;4105&lt;/rec-number&gt;&lt;foreign-keys&gt;&lt;key app="EN" db-id="9x0erf0zjf29fkerve3vt0te2rwzx959avzx" timestamp="1675255096"&gt;4105&lt;/key&gt;&lt;/foreign-keys&gt;&lt;ref-type name="Journal Article"&gt;17&lt;/ref-type&gt;&lt;contributors&gt;&lt;authors&gt;&lt;author&gt;Alderman, Harold&lt;/author&gt;&lt;author&gt;Gilligan, Daniel O&lt;/author&gt;&lt;author&gt;Leight, Jessica&lt;/author&gt;&lt;author&gt;Mulford, Michael&lt;/author&gt;&lt;author&gt;Tambet, Heleene&lt;/author&gt;&lt;/authors&gt;&lt;/contributors&gt;&lt;titles&gt;&lt;title&gt;The role of poultry transfers in diet diversity: A cluster randomized intent to treat analysis&lt;/title&gt;&lt;secondary-title&gt;Food Policy&lt;/secondary-title&gt;&lt;/titles&gt;&lt;periodical&gt;&lt;full-title&gt;Food Policy&lt;/full-title&gt;&lt;/periodical&gt;&lt;pages&gt;102212&lt;/pages&gt;&lt;volume&gt;107&lt;/volume&gt;&lt;dates&gt;&lt;year&gt;2022&lt;/year&gt;&lt;/dates&gt;&lt;isbn&gt;0306-9192&lt;/isbn&gt;&lt;urls&gt;&lt;/urls&gt;&lt;/record&gt;&lt;/Cite&gt;&lt;/EndNote&gt;</w:instrText>
      </w:r>
      <w:r w:rsidR="0034208D" w:rsidRPr="00AF787C">
        <w:rPr>
          <w:rFonts w:ascii="Arial" w:hAnsi="Arial" w:cs="Arial"/>
          <w:sz w:val="18"/>
          <w:szCs w:val="18"/>
          <w:lang w:val="en-US"/>
        </w:rPr>
        <w:fldChar w:fldCharType="separate"/>
      </w:r>
      <w:r w:rsidR="0034208D" w:rsidRPr="00AF787C">
        <w:rPr>
          <w:rFonts w:ascii="Arial" w:hAnsi="Arial" w:cs="Arial"/>
          <w:noProof/>
          <w:sz w:val="18"/>
          <w:szCs w:val="18"/>
          <w:lang w:val="en-US"/>
        </w:rPr>
        <w:t>(Alderman et al., 2022)</w:t>
      </w:r>
      <w:r w:rsidR="0034208D" w:rsidRPr="00AF787C">
        <w:rPr>
          <w:rFonts w:ascii="Arial" w:hAnsi="Arial" w:cs="Arial"/>
          <w:sz w:val="18"/>
          <w:szCs w:val="18"/>
          <w:lang w:val="en-US"/>
        </w:rPr>
        <w:fldChar w:fldCharType="end"/>
      </w:r>
      <w:r w:rsidR="0034208D" w:rsidRPr="00AF787C">
        <w:rPr>
          <w:rFonts w:ascii="Arial" w:hAnsi="Arial" w:cs="Arial"/>
          <w:sz w:val="18"/>
          <w:szCs w:val="18"/>
          <w:lang w:val="en-US"/>
        </w:rPr>
        <w:t xml:space="preserve">. </w:t>
      </w:r>
      <w:r w:rsidRPr="00AF787C">
        <w:rPr>
          <w:rFonts w:ascii="Arial" w:hAnsi="Arial" w:cs="Arial"/>
          <w:sz w:val="18"/>
          <w:szCs w:val="18"/>
          <w:lang w:val="en-US"/>
        </w:rPr>
        <w:t>The effects were generally small in magnitude, and the paper did not report on a full set of outcomes related to child health and anthropometrics.</w:t>
      </w:r>
    </w:p>
  </w:footnote>
  <w:footnote w:id="6">
    <w:p w14:paraId="1D0AADED" w14:textId="77777777" w:rsidR="0080443C" w:rsidRPr="0058106B" w:rsidRDefault="0080443C" w:rsidP="0058106B">
      <w:pPr>
        <w:pStyle w:val="FootnoteText"/>
        <w:spacing w:line="240" w:lineRule="auto"/>
        <w:rPr>
          <w:rFonts w:ascii="Arial" w:hAnsi="Arial" w:cs="Arial"/>
          <w:sz w:val="18"/>
          <w:szCs w:val="18"/>
          <w:lang w:val="en-US"/>
        </w:rPr>
      </w:pPr>
      <w:r w:rsidRPr="0058106B">
        <w:rPr>
          <w:rStyle w:val="FootnoteReference"/>
          <w:rFonts w:ascii="Arial" w:hAnsi="Arial" w:cs="Arial"/>
          <w:sz w:val="18"/>
          <w:szCs w:val="18"/>
        </w:rPr>
        <w:footnoteRef/>
      </w:r>
      <w:r w:rsidRPr="0058106B">
        <w:rPr>
          <w:rFonts w:ascii="Arial" w:hAnsi="Arial" w:cs="Arial"/>
          <w:sz w:val="18"/>
          <w:szCs w:val="18"/>
        </w:rPr>
        <w:t xml:space="preserve"> Earlier work in the literature also suggests that providing cash or increasing nutritional knowledge alone may not be sufficient to improve child diets and anthropometric outcomes in low-income settings </w:t>
      </w:r>
      <w:r w:rsidRPr="0058106B">
        <w:rPr>
          <w:rFonts w:ascii="Arial" w:hAnsi="Arial" w:cs="Arial"/>
          <w:sz w:val="18"/>
          <w:szCs w:val="18"/>
        </w:rPr>
        <w:fldChar w:fldCharType="begin">
          <w:fldData xml:space="preserve">PEVuZE5vdGU+PENpdGU+PEF1dGhvcj5MZXZlcmU8L0F1dGhvcj48WWVhcj4yMDIyPC9ZZWFyPjxS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</w:fldData>
        </w:fldChar>
      </w:r>
      <w:r w:rsidRPr="0058106B">
        <w:rPr>
          <w:rFonts w:ascii="Arial" w:hAnsi="Arial" w:cs="Arial"/>
          <w:sz w:val="18"/>
          <w:szCs w:val="18"/>
        </w:rPr>
        <w:instrText xml:space="preserve"> ADDIN EN.CITE </w:instrText>
      </w:r>
      <w:r w:rsidRPr="0058106B">
        <w:rPr>
          <w:rFonts w:ascii="Arial" w:hAnsi="Arial" w:cs="Arial"/>
          <w:sz w:val="18"/>
          <w:szCs w:val="18"/>
        </w:rPr>
        <w:fldChar w:fldCharType="begin">
          <w:fldData xml:space="preserve">PEVuZE5vdGU+PENpdGU+PEF1dGhvcj5MZXZlcmU8L0F1dGhvcj48WWVhcj4yMDIyPC9ZZWFyPjxS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</w:fldData>
        </w:fldChar>
      </w:r>
      <w:r w:rsidRPr="0058106B">
        <w:rPr>
          <w:rFonts w:ascii="Arial" w:hAnsi="Arial" w:cs="Arial"/>
          <w:sz w:val="18"/>
          <w:szCs w:val="18"/>
        </w:rPr>
        <w:instrText xml:space="preserve"> ADDIN EN.CITE.DATA </w:instrText>
      </w:r>
      <w:r w:rsidRPr="0058106B">
        <w:rPr>
          <w:rFonts w:ascii="Arial" w:hAnsi="Arial" w:cs="Arial"/>
          <w:sz w:val="18"/>
          <w:szCs w:val="18"/>
        </w:rPr>
      </w:r>
      <w:r w:rsidRPr="0058106B">
        <w:rPr>
          <w:rFonts w:ascii="Arial" w:hAnsi="Arial" w:cs="Arial"/>
          <w:sz w:val="18"/>
          <w:szCs w:val="18"/>
        </w:rPr>
        <w:fldChar w:fldCharType="end"/>
      </w:r>
      <w:r w:rsidRPr="0058106B">
        <w:rPr>
          <w:rFonts w:ascii="Arial" w:hAnsi="Arial" w:cs="Arial"/>
          <w:sz w:val="18"/>
          <w:szCs w:val="18"/>
        </w:rPr>
      </w:r>
      <w:r w:rsidRPr="0058106B">
        <w:rPr>
          <w:rFonts w:ascii="Arial" w:hAnsi="Arial" w:cs="Arial"/>
          <w:sz w:val="18"/>
          <w:szCs w:val="18"/>
        </w:rPr>
        <w:fldChar w:fldCharType="separate"/>
      </w:r>
      <w:r w:rsidRPr="0058106B">
        <w:rPr>
          <w:rFonts w:ascii="Arial" w:hAnsi="Arial" w:cs="Arial"/>
          <w:noProof/>
          <w:sz w:val="18"/>
          <w:szCs w:val="18"/>
        </w:rPr>
        <w:t>(Ahmed et al., 2019; Field and Maffioli, 2021; Levere et al., 2022)</w:t>
      </w:r>
      <w:r w:rsidRPr="0058106B">
        <w:rPr>
          <w:rFonts w:ascii="Arial" w:hAnsi="Arial" w:cs="Arial"/>
          <w:sz w:val="18"/>
          <w:szCs w:val="18"/>
        </w:rPr>
        <w:fldChar w:fldCharType="end"/>
      </w:r>
      <w:r w:rsidRPr="0058106B">
        <w:rPr>
          <w:rFonts w:ascii="Arial" w:hAnsi="Arial" w:cs="Arial"/>
          <w:sz w:val="18"/>
          <w:szCs w:val="18"/>
        </w:rPr>
        <w:t>.</w:t>
      </w:r>
    </w:p>
  </w:footnote>
  <w:footnote w:id="7">
    <w:p w14:paraId="5294D102" w14:textId="77777777" w:rsidR="0075309C" w:rsidRPr="000A0F0E" w:rsidRDefault="0075309C" w:rsidP="0075309C">
      <w:pPr>
        <w:pStyle w:val="FootnoteText"/>
        <w:spacing w:before="0" w:after="0" w:line="240" w:lineRule="auto"/>
      </w:pPr>
      <w:r w:rsidRPr="000A0F0E">
        <w:rPr>
          <w:rStyle w:val="FootnoteReference"/>
          <w:rFonts w:ascii="Arial" w:hAnsi="Arial" w:cs="Arial"/>
          <w:sz w:val="18"/>
          <w:szCs w:val="18"/>
        </w:rPr>
        <w:footnoteRef/>
      </w:r>
      <w:r w:rsidRPr="000A0F0E">
        <w:rPr>
          <w:rFonts w:ascii="Arial" w:hAnsi="Arial" w:cs="Arial"/>
          <w:sz w:val="18"/>
          <w:szCs w:val="18"/>
        </w:rPr>
        <w:t xml:space="preserve"> </w:t>
      </w:r>
      <w:r>
        <w:rPr>
          <w:rFonts w:ascii="Arial" w:hAnsi="Arial" w:cs="Arial"/>
          <w:sz w:val="18"/>
          <w:szCs w:val="18"/>
        </w:rPr>
        <w:t>World Vision and CARE (</w:t>
      </w:r>
      <w:r w:rsidRPr="000A0F0E">
        <w:rPr>
          <w:rFonts w:ascii="Arial" w:hAnsi="Arial" w:cs="Arial"/>
          <w:sz w:val="18"/>
          <w:szCs w:val="18"/>
        </w:rPr>
        <w:t>Cooperative for Assistance and Relief Everywhere</w:t>
      </w:r>
      <w:r>
        <w:rPr>
          <w:rFonts w:ascii="Arial" w:hAnsi="Arial" w:cs="Arial"/>
          <w:sz w:val="18"/>
          <w:szCs w:val="18"/>
        </w:rPr>
        <w:t xml:space="preserve">) are international non-governmental organizations (NGO) with headquarters in the UK and </w:t>
      </w:r>
      <w:r w:rsidRPr="000A0F0E">
        <w:rPr>
          <w:rFonts w:ascii="Arial" w:hAnsi="Arial" w:cs="Arial"/>
          <w:sz w:val="18"/>
          <w:szCs w:val="18"/>
        </w:rPr>
        <w:t>Switzerland</w:t>
      </w:r>
      <w:r>
        <w:rPr>
          <w:rFonts w:ascii="Arial" w:hAnsi="Arial" w:cs="Arial"/>
          <w:sz w:val="18"/>
          <w:szCs w:val="18"/>
        </w:rPr>
        <w:t>, respectively. ORDA is an Ethiopia-based NGO.</w:t>
      </w:r>
    </w:p>
  </w:footnote>
  <w:footnote w:id="8">
    <w:p w14:paraId="32231763" w14:textId="77777777" w:rsidR="0075309C" w:rsidRPr="002A1C5A" w:rsidRDefault="0075309C" w:rsidP="0075309C">
      <w:pPr>
        <w:pStyle w:val="FootnoteText"/>
        <w:spacing w:before="0" w:after="0" w:line="240" w:lineRule="auto"/>
        <w:rPr>
          <w:rFonts w:ascii="Arial" w:hAnsi="Arial" w:cs="Arial"/>
          <w:sz w:val="18"/>
          <w:szCs w:val="18"/>
        </w:rPr>
      </w:pPr>
      <w:r w:rsidRPr="002A1C5A">
        <w:rPr>
          <w:rStyle w:val="FootnoteReference"/>
          <w:rFonts w:ascii="Arial" w:hAnsi="Arial" w:cs="Arial"/>
          <w:sz w:val="18"/>
          <w:szCs w:val="18"/>
        </w:rPr>
        <w:footnoteRef/>
      </w:r>
      <w:r w:rsidRPr="002A1C5A">
        <w:rPr>
          <w:rFonts w:ascii="Arial" w:hAnsi="Arial" w:cs="Arial"/>
          <w:sz w:val="18"/>
          <w:szCs w:val="18"/>
        </w:rPr>
        <w:t xml:space="preserve"> Standard government-led nutrition programming in Ethiopia is delivered primarily by health extension workers and the health development army through relatively infrequent interactions to provide nutritional information and counselling to pregnant women and mothers of young children</w:t>
      </w:r>
      <w:r>
        <w:rPr>
          <w:rFonts w:ascii="Arial" w:hAnsi="Arial" w:cs="Arial"/>
          <w:sz w:val="18"/>
          <w:szCs w:val="18"/>
        </w:rPr>
        <w:t xml:space="preserve"> </w:t>
      </w:r>
      <w:r>
        <w:rPr>
          <w:rFonts w:ascii="Arial" w:hAnsi="Arial" w:cs="Arial"/>
          <w:sz w:val="18"/>
          <w:szCs w:val="18"/>
        </w:rPr>
        <w:fldChar w:fldCharType="begin">
          <w:fldData xml:space="preserve">PEVuZE5vdGU+PENpdGU+PEF1dGhvcj5BYmF0ZTwvQXV0aG9yPjxZZWFyPjIwMjA8L1llYXI+PFJl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</w:fldData>
        </w:fldChar>
      </w:r>
      <w:r>
        <w:rPr>
          <w:rFonts w:ascii="Arial" w:hAnsi="Arial" w:cs="Arial"/>
          <w:sz w:val="18"/>
          <w:szCs w:val="18"/>
        </w:rPr>
        <w:instrText xml:space="preserve"> ADDIN EN.CITE </w:instrText>
      </w:r>
      <w:r>
        <w:rPr>
          <w:rFonts w:ascii="Arial" w:hAnsi="Arial" w:cs="Arial"/>
          <w:sz w:val="18"/>
          <w:szCs w:val="18"/>
        </w:rPr>
        <w:fldChar w:fldCharType="begin">
          <w:fldData xml:space="preserve">PEVuZE5vdGU+PENpdGU+PEF1dGhvcj5BYmF0ZTwvQXV0aG9yPjxZZWFyPjIwMjA8L1llYXI+PFJl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</w:fldData>
        </w:fldChar>
      </w:r>
      <w:r>
        <w:rPr>
          <w:rFonts w:ascii="Arial" w:hAnsi="Arial" w:cs="Arial"/>
          <w:sz w:val="18"/>
          <w:szCs w:val="18"/>
        </w:rPr>
        <w:instrText xml:space="preserve"> ADDIN EN.CITE.DATA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(Abate et al., 2020; Berhane et al., 2020)</w:t>
      </w:r>
      <w:r>
        <w:rPr>
          <w:rFonts w:ascii="Arial" w:hAnsi="Arial" w:cs="Arial"/>
          <w:sz w:val="18"/>
          <w:szCs w:val="18"/>
        </w:rPr>
        <w:fldChar w:fldCharType="end"/>
      </w:r>
      <w:r w:rsidRPr="002A1C5A">
        <w:rPr>
          <w:rFonts w:ascii="Arial" w:hAnsi="Arial" w:cs="Arial"/>
          <w:sz w:val="18"/>
          <w:szCs w:val="18"/>
        </w:rPr>
        <w:t>.</w:t>
      </w:r>
    </w:p>
  </w:footnote>
  <w:footnote w:id="9">
    <w:p w14:paraId="7DE630F1" w14:textId="77777777" w:rsidR="00C87DC6" w:rsidRPr="0097614C" w:rsidRDefault="00C87DC6" w:rsidP="00C87DC6">
      <w:pPr>
        <w:pStyle w:val="FootnoteText"/>
        <w:spacing w:line="240" w:lineRule="auto"/>
        <w:contextualSpacing/>
        <w:rPr>
          <w:rFonts w:ascii="Arial" w:hAnsi="Arial" w:cs="Arial"/>
          <w:sz w:val="18"/>
          <w:szCs w:val="18"/>
          <w:lang w:val="en-US"/>
        </w:rPr>
      </w:pPr>
      <w:r w:rsidRPr="0097614C">
        <w:rPr>
          <w:rStyle w:val="FootnoteReference"/>
          <w:rFonts w:ascii="Arial" w:hAnsi="Arial" w:cs="Arial"/>
          <w:sz w:val="18"/>
          <w:szCs w:val="18"/>
          <w:lang w:val="en-US"/>
        </w:rPr>
        <w:footnoteRef/>
      </w:r>
      <w:r w:rsidRPr="0097614C">
        <w:rPr>
          <w:rFonts w:ascii="Arial" w:hAnsi="Arial" w:cs="Arial"/>
          <w:sz w:val="18"/>
          <w:szCs w:val="18"/>
          <w:lang w:val="en-US"/>
        </w:rPr>
        <w:t xml:space="preserve"> More specifically, the behavioral change counseling was intended to be delivered by health extension workers and health development army workers, supported by SPIR-engaged community health facilitators.</w:t>
      </w:r>
    </w:p>
  </w:footnote>
  <w:footnote w:id="10">
    <w:p w14:paraId="683CCBC3" w14:textId="77777777" w:rsidR="001941B7" w:rsidRPr="00BF1ABE" w:rsidRDefault="001941B7" w:rsidP="0080443C">
      <w:pPr>
        <w:pStyle w:val="FootnoteText"/>
        <w:spacing w:before="0" w:after="0" w:line="240" w:lineRule="auto"/>
        <w:rPr>
          <w:rFonts w:ascii="Arial" w:hAnsi="Arial" w:cs="Arial"/>
          <w:sz w:val="20"/>
          <w:szCs w:val="20"/>
          <w:lang w:val="en-US"/>
        </w:rPr>
      </w:pPr>
      <w:r w:rsidRPr="00BF1ABE">
        <w:rPr>
          <w:rStyle w:val="FootnoteReference"/>
          <w:rFonts w:ascii="Arial" w:hAnsi="Arial" w:cs="Arial"/>
          <w:sz w:val="18"/>
          <w:szCs w:val="18"/>
        </w:rPr>
        <w:footnoteRef/>
      </w:r>
      <w:r w:rsidRPr="00BF1ABE">
        <w:rPr>
          <w:rFonts w:ascii="Arial" w:hAnsi="Arial" w:cs="Arial"/>
          <w:sz w:val="18"/>
          <w:szCs w:val="18"/>
        </w:rPr>
        <w:t xml:space="preserve"> </w:t>
      </w:r>
      <w:r>
        <w:rPr>
          <w:rFonts w:ascii="Arial" w:hAnsi="Arial" w:cs="Arial"/>
          <w:sz w:val="18"/>
          <w:szCs w:val="18"/>
        </w:rPr>
        <w:t xml:space="preserve">PSNP </w:t>
      </w:r>
      <w:r w:rsidRPr="00DC116B">
        <w:rPr>
          <w:rFonts w:ascii="Arial" w:hAnsi="Arial" w:cs="Arial"/>
          <w:sz w:val="18"/>
          <w:szCs w:val="18"/>
          <w:lang w:val="en-US"/>
        </w:rPr>
        <w:t>households</w:t>
      </w:r>
      <w:r w:rsidRPr="00BF1ABE">
        <w:rPr>
          <w:rFonts w:ascii="Arial" w:hAnsi="Arial" w:cs="Arial"/>
          <w:sz w:val="18"/>
          <w:szCs w:val="18"/>
          <w:lang w:val="en-US"/>
        </w:rPr>
        <w:t xml:space="preserve"> with limited labor capacity receive (unconditional)</w:t>
      </w:r>
      <w:r>
        <w:rPr>
          <w:rFonts w:ascii="Arial" w:hAnsi="Arial" w:cs="Arial"/>
          <w:sz w:val="18"/>
          <w:szCs w:val="18"/>
          <w:lang w:val="en-US"/>
        </w:rPr>
        <w:t xml:space="preserve"> permanent</w:t>
      </w:r>
      <w:r w:rsidRPr="00BF1ABE">
        <w:rPr>
          <w:rFonts w:ascii="Arial" w:hAnsi="Arial" w:cs="Arial"/>
          <w:sz w:val="18"/>
          <w:szCs w:val="18"/>
          <w:lang w:val="en-US"/>
        </w:rPr>
        <w:t xml:space="preserve"> direct support while</w:t>
      </w:r>
      <w:r>
        <w:rPr>
          <w:rFonts w:ascii="Arial" w:hAnsi="Arial" w:cs="Arial"/>
          <w:sz w:val="18"/>
          <w:szCs w:val="18"/>
          <w:lang w:val="en-US"/>
        </w:rPr>
        <w:t xml:space="preserve"> f</w:t>
      </w:r>
      <w:r w:rsidRPr="00DC116B">
        <w:rPr>
          <w:rFonts w:ascii="Arial" w:hAnsi="Arial" w:cs="Arial"/>
          <w:sz w:val="18"/>
          <w:szCs w:val="18"/>
          <w:lang w:val="en-US"/>
        </w:rPr>
        <w:t>emale PSNP</w:t>
      </w:r>
      <w:r>
        <w:rPr>
          <w:rFonts w:ascii="Arial" w:hAnsi="Arial" w:cs="Arial"/>
          <w:sz w:val="18"/>
          <w:szCs w:val="18"/>
          <w:lang w:val="en-US"/>
        </w:rPr>
        <w:t xml:space="preserve"> </w:t>
      </w:r>
      <w:r w:rsidRPr="00DC116B">
        <w:rPr>
          <w:rFonts w:ascii="Arial" w:hAnsi="Arial" w:cs="Arial"/>
          <w:sz w:val="18"/>
          <w:szCs w:val="18"/>
          <w:lang w:val="en-US"/>
        </w:rPr>
        <w:t>participants who are pregnant,</w:t>
      </w:r>
      <w:r>
        <w:rPr>
          <w:rFonts w:ascii="Arial" w:hAnsi="Arial" w:cs="Arial"/>
          <w:sz w:val="18"/>
          <w:szCs w:val="18"/>
          <w:lang w:val="en-US"/>
        </w:rPr>
        <w:t xml:space="preserve"> </w:t>
      </w:r>
      <w:r w:rsidRPr="00DC116B">
        <w:rPr>
          <w:rFonts w:ascii="Arial" w:hAnsi="Arial" w:cs="Arial"/>
          <w:sz w:val="18"/>
          <w:szCs w:val="18"/>
          <w:lang w:val="en-US"/>
        </w:rPr>
        <w:t>or lactating are temporarily moved to</w:t>
      </w:r>
      <w:r>
        <w:rPr>
          <w:rFonts w:ascii="Arial" w:hAnsi="Arial" w:cs="Arial"/>
          <w:sz w:val="18"/>
          <w:szCs w:val="18"/>
          <w:lang w:val="en-US"/>
        </w:rPr>
        <w:t xml:space="preserve"> </w:t>
      </w:r>
      <w:r w:rsidRPr="00DC116B">
        <w:rPr>
          <w:rFonts w:ascii="Arial" w:hAnsi="Arial" w:cs="Arial"/>
          <w:sz w:val="18"/>
          <w:szCs w:val="18"/>
          <w:lang w:val="en-US"/>
        </w:rPr>
        <w:t xml:space="preserve">temporary </w:t>
      </w:r>
      <w:r>
        <w:rPr>
          <w:rFonts w:ascii="Arial" w:hAnsi="Arial" w:cs="Arial"/>
          <w:sz w:val="18"/>
          <w:szCs w:val="18"/>
          <w:lang w:val="en-US"/>
        </w:rPr>
        <w:t>d</w:t>
      </w:r>
      <w:r w:rsidRPr="00DC116B">
        <w:rPr>
          <w:rFonts w:ascii="Arial" w:hAnsi="Arial" w:cs="Arial"/>
          <w:sz w:val="18"/>
          <w:szCs w:val="18"/>
          <w:lang w:val="en-US"/>
        </w:rPr>
        <w:t xml:space="preserve">irect </w:t>
      </w:r>
      <w:r>
        <w:rPr>
          <w:rFonts w:ascii="Arial" w:hAnsi="Arial" w:cs="Arial"/>
          <w:sz w:val="18"/>
          <w:szCs w:val="18"/>
          <w:lang w:val="en-US"/>
        </w:rPr>
        <w:t>s</w:t>
      </w:r>
      <w:r w:rsidRPr="00DC116B">
        <w:rPr>
          <w:rFonts w:ascii="Arial" w:hAnsi="Arial" w:cs="Arial"/>
          <w:sz w:val="18"/>
          <w:szCs w:val="18"/>
          <w:lang w:val="en-US"/>
        </w:rPr>
        <w:t>upport</w:t>
      </w:r>
      <w:r w:rsidRPr="00BF1ABE">
        <w:rPr>
          <w:rFonts w:ascii="Arial" w:hAnsi="Arial" w:cs="Arial"/>
          <w:sz w:val="18"/>
          <w:szCs w:val="18"/>
          <w:lang w:val="en-US"/>
        </w:rPr>
        <w:t xml:space="preserve">. </w:t>
      </w:r>
    </w:p>
  </w:footnote>
  <w:footnote w:id="11">
    <w:p w14:paraId="708CAF91" w14:textId="62A5B767" w:rsidR="00463592" w:rsidRPr="0058106B" w:rsidRDefault="00463592" w:rsidP="0054706F">
      <w:pPr>
        <w:pStyle w:val="FootnoteText"/>
        <w:spacing w:before="0" w:after="0" w:line="240" w:lineRule="auto"/>
        <w:rPr>
          <w:rFonts w:ascii="Arial" w:hAnsi="Arial" w:cs="Arial"/>
          <w:sz w:val="18"/>
          <w:szCs w:val="18"/>
          <w:lang w:val="en-US"/>
        </w:rPr>
      </w:pPr>
      <w:r w:rsidRPr="0058106B">
        <w:rPr>
          <w:rStyle w:val="FootnoteReference"/>
          <w:rFonts w:ascii="Arial" w:hAnsi="Arial" w:cs="Arial"/>
          <w:sz w:val="18"/>
          <w:szCs w:val="18"/>
        </w:rPr>
        <w:footnoteRef/>
      </w:r>
      <w:r w:rsidRPr="0058106B">
        <w:rPr>
          <w:rFonts w:ascii="Arial" w:hAnsi="Arial" w:cs="Arial"/>
          <w:sz w:val="18"/>
          <w:szCs w:val="18"/>
        </w:rPr>
        <w:t xml:space="preserve"> </w:t>
      </w:r>
      <w:r w:rsidRPr="0058106B">
        <w:rPr>
          <w:rFonts w:ascii="Arial" w:hAnsi="Arial" w:cs="Arial"/>
          <w:sz w:val="18"/>
          <w:szCs w:val="18"/>
          <w:lang w:val="en-US"/>
        </w:rPr>
        <w:t>Note that the nurturing care groups are a novel intervention and were not present in SPIR I.  Nutrition programming in SPIR I consisted of more traditional nutritional counseling provided one-on-one to households at home by health extension workers, part of the government health system.</w:t>
      </w:r>
    </w:p>
  </w:footnote>
  <w:footnote w:id="12">
    <w:p w14:paraId="216FC577" w14:textId="54E7C68F" w:rsidR="006D0688" w:rsidRPr="00DE235F" w:rsidRDefault="006D0688" w:rsidP="00CE3C66">
      <w:pPr>
        <w:pStyle w:val="FootnoteText"/>
        <w:spacing w:before="0" w:after="0" w:line="240" w:lineRule="auto"/>
        <w:contextualSpacing/>
        <w:rPr>
          <w:rFonts w:ascii="Arial" w:hAnsi="Arial" w:cs="Arial"/>
          <w:sz w:val="18"/>
          <w:szCs w:val="18"/>
        </w:rPr>
      </w:pPr>
      <w:r w:rsidRPr="002A1C5A">
        <w:rPr>
          <w:rStyle w:val="FootnoteReference"/>
          <w:rFonts w:ascii="Arial" w:hAnsi="Arial" w:cs="Arial"/>
          <w:sz w:val="18"/>
          <w:szCs w:val="18"/>
        </w:rPr>
        <w:footnoteRef/>
      </w:r>
      <w:r w:rsidRPr="002A1C5A">
        <w:rPr>
          <w:rFonts w:ascii="Arial" w:hAnsi="Arial" w:cs="Arial"/>
          <w:sz w:val="18"/>
          <w:szCs w:val="18"/>
        </w:rPr>
        <w:t xml:space="preserve"> We did not collect anthropometric outcomes in the baseline survey because a sizable share of the cohort of children that we </w:t>
      </w:r>
      <w:r w:rsidRPr="00DE235F">
        <w:rPr>
          <w:rFonts w:ascii="Arial" w:hAnsi="Arial" w:cs="Arial"/>
          <w:sz w:val="18"/>
          <w:szCs w:val="18"/>
        </w:rPr>
        <w:t>follow had not yet been born. As discussed below, the sampling frame for the baseline survey consisted of households with a pregnant woman or a child under 9 months of age.</w:t>
      </w:r>
    </w:p>
  </w:footnote>
  <w:footnote w:id="13">
    <w:p w14:paraId="55956D6D" w14:textId="77777777" w:rsidR="001A75A7" w:rsidRPr="00A94FA9" w:rsidRDefault="001A75A7" w:rsidP="001A75A7">
      <w:pPr>
        <w:pStyle w:val="FootnoteText"/>
        <w:spacing w:before="0" w:after="0" w:line="240" w:lineRule="auto"/>
        <w:rPr>
          <w:rFonts w:ascii="Arial" w:hAnsi="Arial" w:cs="Arial"/>
          <w:sz w:val="20"/>
          <w:szCs w:val="20"/>
        </w:rPr>
      </w:pPr>
      <w:r w:rsidRPr="00A94FA9">
        <w:rPr>
          <w:rStyle w:val="FootnoteReference"/>
          <w:rFonts w:ascii="Arial" w:hAnsi="Arial" w:cs="Arial"/>
          <w:sz w:val="18"/>
          <w:szCs w:val="18"/>
        </w:rPr>
        <w:footnoteRef/>
      </w:r>
      <w:r w:rsidRPr="00A94FA9">
        <w:rPr>
          <w:rFonts w:ascii="Arial" w:hAnsi="Arial" w:cs="Arial"/>
          <w:sz w:val="18"/>
          <w:szCs w:val="18"/>
        </w:rPr>
        <w:t xml:space="preserve"> Based on 22 durable goods, 15 productive assets and 19 types of livestock</w:t>
      </w:r>
      <w:r>
        <w:rPr>
          <w:rFonts w:ascii="Arial" w:hAnsi="Arial" w:cs="Arial"/>
          <w:sz w:val="18"/>
          <w:szCs w:val="18"/>
        </w:rPr>
        <w:t xml:space="preserve">, </w:t>
      </w:r>
      <w:r w:rsidRPr="00A94FA9">
        <w:rPr>
          <w:rFonts w:ascii="Arial" w:hAnsi="Arial" w:cs="Arial"/>
          <w:sz w:val="18"/>
          <w:szCs w:val="18"/>
        </w:rPr>
        <w:t xml:space="preserve">aggregated into single value using </w:t>
      </w:r>
      <w:r>
        <w:rPr>
          <w:rFonts w:ascii="Arial" w:hAnsi="Arial" w:cs="Arial"/>
          <w:sz w:val="18"/>
          <w:szCs w:val="18"/>
        </w:rPr>
        <w:t xml:space="preserve">a </w:t>
      </w:r>
      <w:r w:rsidRPr="00A94FA9">
        <w:rPr>
          <w:rFonts w:ascii="Arial" w:hAnsi="Arial" w:cs="Arial"/>
          <w:sz w:val="18"/>
          <w:szCs w:val="18"/>
        </w:rPr>
        <w:t>principal components analysis method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ADDIN EN.CITE &lt;EndNote&gt;&lt;Cite&gt;&lt;Author&gt;Sahn&lt;/Author&gt;&lt;Year&gt;2003&lt;/Year&gt;&lt;RecNum&gt;1601&lt;/RecNum&gt;&lt;DisplayText&gt;(Sahn and Stifel, 2003)&lt;/DisplayText&gt;&lt;record&gt;&lt;rec-number&gt;1601&lt;/rec-number&gt;&lt;foreign-keys&gt;&lt;key app="EN" db-id="9x0erf0zjf29fkerve3vt0te2rwzx959avzx" timestamp="1485857093"&gt;1601&lt;/key&gt;&lt;/foreign-keys&gt;&lt;ref-type name="Journal Article"&gt;17&lt;/ref-type&gt;&lt;contributors&gt;&lt;authors&gt;&lt;author&gt;Sahn, David E&lt;/author&gt;&lt;author&gt;Stifel, David&lt;/author&gt;&lt;/authors&gt;&lt;/contributors&gt;&lt;titles&gt;&lt;title&gt;Exploring alternative measures of welfare in the absence of expenditure data&lt;/title&gt;&lt;secondary-title&gt;Review of income and wealth&lt;/secondary-title&gt;&lt;/titles&gt;&lt;periodical&gt;&lt;full-title&gt;Review of Income and Wealth&lt;/full-title&gt;&lt;abbr-1&gt;Rev. Income Wealth&lt;/abbr-1&gt;&lt;abbr-2&gt;Rev Income Wealth&lt;/abbr-2&gt;&lt;/periodical&gt;&lt;pages&gt;463-489&lt;/pages&gt;&lt;volume&gt;49&lt;/volume&gt;&lt;number&gt;4&lt;/number&gt;&lt;dates&gt;&lt;year&gt;2003&lt;/year&gt;&lt;/dates&gt;&lt;isbn&gt;1475-4991&lt;/isbn&gt;&lt;urls&gt;&lt;/urls&gt;&lt;/record&gt;&lt;/Cite&gt;&lt;/EndNote&gt;</w:instrText>
      </w:r>
      <w:r>
        <w:rPr>
          <w:rFonts w:ascii="Arial" w:hAnsi="Arial" w:cs="Arial"/>
          <w:sz w:val="18"/>
          <w:szCs w:val="18"/>
        </w:rPr>
        <w:fldChar w:fldCharType="separate"/>
      </w:r>
      <w:r>
        <w:rPr>
          <w:rFonts w:ascii="Arial" w:hAnsi="Arial" w:cs="Arial"/>
          <w:noProof/>
          <w:sz w:val="18"/>
          <w:szCs w:val="18"/>
        </w:rPr>
        <w:t>(Sahn and Stifel, 2003)</w:t>
      </w:r>
      <w:r>
        <w:rPr>
          <w:rFonts w:ascii="Arial" w:hAnsi="Arial" w:cs="Arial"/>
          <w:sz w:val="18"/>
          <w:szCs w:val="18"/>
        </w:rPr>
        <w:fldChar w:fldCharType="end"/>
      </w:r>
      <w:r w:rsidRPr="00A94FA9">
        <w:rPr>
          <w:rFonts w:ascii="Arial" w:hAnsi="Arial" w:cs="Arial"/>
          <w:sz w:val="18"/>
          <w:szCs w:val="18"/>
        </w:rPr>
        <w:t>.</w:t>
      </w:r>
    </w:p>
  </w:footnote>
  <w:footnote w:id="14">
    <w:p w14:paraId="13D41CB8" w14:textId="7F12A912" w:rsidR="00CD1B2B" w:rsidRPr="000A0F0E" w:rsidRDefault="00CD1B2B" w:rsidP="00BF1ABE">
      <w:pPr>
        <w:pStyle w:val="FootnoteText"/>
        <w:spacing w:before="0" w:after="0" w:line="240" w:lineRule="auto"/>
        <w:rPr>
          <w:rFonts w:ascii="Arial" w:hAnsi="Arial" w:cs="Arial"/>
          <w:sz w:val="18"/>
          <w:szCs w:val="18"/>
          <w:lang w:val="en-US"/>
        </w:rPr>
      </w:pPr>
      <w:r w:rsidRPr="000A0F0E">
        <w:rPr>
          <w:rStyle w:val="FootnoteReference"/>
          <w:rFonts w:ascii="Arial" w:hAnsi="Arial" w:cs="Arial"/>
          <w:sz w:val="18"/>
          <w:szCs w:val="18"/>
        </w:rPr>
        <w:footnoteRef/>
      </w:r>
      <w:r w:rsidRPr="000A0F0E">
        <w:rPr>
          <w:rFonts w:ascii="Arial" w:hAnsi="Arial" w:cs="Arial"/>
          <w:sz w:val="18"/>
          <w:szCs w:val="18"/>
        </w:rPr>
        <w:t xml:space="preserve"> </w:t>
      </w:r>
      <w:r w:rsidRPr="000A0F0E">
        <w:rPr>
          <w:rFonts w:ascii="Arial" w:hAnsi="Arial" w:cs="Arial"/>
          <w:sz w:val="18"/>
          <w:szCs w:val="18"/>
          <w:lang w:val="en-US"/>
        </w:rPr>
        <w:t xml:space="preserve">In the SPIR I trial, the effects of the pooled set of livelihoods interventions in a sample of households that all received $200 transfers ranged between </w:t>
      </w:r>
      <w:r w:rsidR="000408E4">
        <w:rPr>
          <w:rFonts w:ascii="Arial" w:hAnsi="Arial" w:cs="Arial"/>
          <w:sz w:val="18"/>
          <w:szCs w:val="18"/>
          <w:lang w:val="en-US"/>
        </w:rPr>
        <w:t>0</w:t>
      </w:r>
      <w:r w:rsidRPr="000A0F0E">
        <w:rPr>
          <w:rFonts w:ascii="Arial" w:hAnsi="Arial" w:cs="Arial"/>
          <w:sz w:val="18"/>
          <w:szCs w:val="18"/>
          <w:lang w:val="en-US"/>
        </w:rPr>
        <w:t xml:space="preserve">.1 and </w:t>
      </w:r>
      <w:r w:rsidR="000408E4">
        <w:rPr>
          <w:rFonts w:ascii="Arial" w:hAnsi="Arial" w:cs="Arial"/>
          <w:sz w:val="18"/>
          <w:szCs w:val="18"/>
          <w:lang w:val="en-US"/>
        </w:rPr>
        <w:t>0</w:t>
      </w:r>
      <w:r w:rsidRPr="000A0F0E">
        <w:rPr>
          <w:rFonts w:ascii="Arial" w:hAnsi="Arial" w:cs="Arial"/>
          <w:sz w:val="18"/>
          <w:szCs w:val="18"/>
          <w:lang w:val="en-US"/>
        </w:rPr>
        <w:t xml:space="preserve">.2 standard deviations for assets, savings, and livestock income outcomes.  Given that only </w:t>
      </w:r>
      <w:r w:rsidR="00DC2748" w:rsidRPr="000A0F0E">
        <w:rPr>
          <w:rFonts w:ascii="Arial" w:hAnsi="Arial" w:cs="Arial"/>
          <w:sz w:val="18"/>
          <w:szCs w:val="18"/>
          <w:lang w:val="en-US"/>
        </w:rPr>
        <w:t>33</w:t>
      </w:r>
      <w:r w:rsidRPr="000A0F0E">
        <w:rPr>
          <w:rFonts w:ascii="Arial" w:hAnsi="Arial" w:cs="Arial"/>
          <w:sz w:val="18"/>
          <w:szCs w:val="18"/>
          <w:lang w:val="en-US"/>
        </w:rPr>
        <w:t xml:space="preserve">% of households in this sample will receive </w:t>
      </w:r>
      <w:r w:rsidR="00DC2748" w:rsidRPr="000A0F0E">
        <w:rPr>
          <w:rFonts w:ascii="Arial" w:hAnsi="Arial" w:cs="Arial"/>
          <w:sz w:val="18"/>
          <w:szCs w:val="18"/>
          <w:lang w:val="en-US"/>
        </w:rPr>
        <w:t>transfers (albeit of a larger size)</w:t>
      </w:r>
      <w:r w:rsidRPr="000A0F0E">
        <w:rPr>
          <w:rFonts w:ascii="Arial" w:hAnsi="Arial" w:cs="Arial"/>
          <w:sz w:val="18"/>
          <w:szCs w:val="18"/>
          <w:lang w:val="en-US"/>
        </w:rPr>
        <w:t>, it is plausible to expect that t</w:t>
      </w:r>
      <w:r w:rsidR="00DC2748" w:rsidRPr="000A0F0E">
        <w:rPr>
          <w:rFonts w:ascii="Arial" w:hAnsi="Arial" w:cs="Arial"/>
          <w:sz w:val="18"/>
          <w:szCs w:val="18"/>
          <w:lang w:val="en-US"/>
        </w:rPr>
        <w:t>he previously estimated effects correspond to an upper bound.</w:t>
      </w:r>
    </w:p>
  </w:footnote>
  <w:footnote w:id="15">
    <w:p w14:paraId="636697BA" w14:textId="190CDD5D" w:rsidR="00124B42" w:rsidRPr="00241994" w:rsidRDefault="00124B42" w:rsidP="00241994">
      <w:pPr>
        <w:pStyle w:val="FootnoteText"/>
        <w:spacing w:line="240" w:lineRule="auto"/>
        <w:rPr>
          <w:rFonts w:ascii="Arial" w:hAnsi="Arial" w:cs="Arial"/>
          <w:sz w:val="18"/>
          <w:szCs w:val="18"/>
          <w:lang w:val="en-US"/>
        </w:rPr>
      </w:pPr>
      <w:r w:rsidRPr="00241994">
        <w:rPr>
          <w:rStyle w:val="FootnoteReference"/>
          <w:rFonts w:ascii="Arial" w:hAnsi="Arial" w:cs="Arial"/>
          <w:sz w:val="18"/>
          <w:szCs w:val="18"/>
        </w:rPr>
        <w:footnoteRef/>
      </w:r>
      <w:r w:rsidRPr="00241994">
        <w:rPr>
          <w:rFonts w:ascii="Arial" w:hAnsi="Arial" w:cs="Arial"/>
          <w:sz w:val="18"/>
          <w:szCs w:val="18"/>
        </w:rPr>
        <w:t xml:space="preserve"> </w:t>
      </w:r>
      <w:r w:rsidRPr="00241994">
        <w:rPr>
          <w:rFonts w:ascii="Arial" w:hAnsi="Arial" w:cs="Arial"/>
          <w:sz w:val="18"/>
          <w:szCs w:val="18"/>
          <w:lang w:val="en-US"/>
        </w:rPr>
        <w:t>Both outcomes, child dietary diversity and height-for-age, were measured using comparable methodologies in both trials.</w:t>
      </w:r>
    </w:p>
  </w:footnote>
  <w:footnote w:id="16">
    <w:p w14:paraId="7D2C8502" w14:textId="436083CB" w:rsidR="00605125" w:rsidRPr="007A3C41" w:rsidRDefault="00605125" w:rsidP="007A3C41">
      <w:pPr>
        <w:pStyle w:val="FootnoteText"/>
        <w:spacing w:line="240" w:lineRule="auto"/>
        <w:contextualSpacing/>
        <w:rPr>
          <w:rFonts w:ascii="Arial" w:hAnsi="Arial" w:cs="Arial"/>
          <w:sz w:val="18"/>
          <w:szCs w:val="18"/>
          <w:lang w:val="en-US"/>
        </w:rPr>
      </w:pPr>
      <w:r w:rsidRPr="007A3C41">
        <w:rPr>
          <w:rStyle w:val="FootnoteReference"/>
          <w:rFonts w:ascii="Arial" w:hAnsi="Arial" w:cs="Arial"/>
          <w:sz w:val="18"/>
          <w:szCs w:val="18"/>
        </w:rPr>
        <w:footnoteRef/>
      </w:r>
      <w:r w:rsidRPr="007A3C41">
        <w:rPr>
          <w:rFonts w:ascii="Arial" w:hAnsi="Arial" w:cs="Arial"/>
          <w:sz w:val="18"/>
          <w:szCs w:val="18"/>
        </w:rPr>
        <w:t xml:space="preserve"> </w:t>
      </w:r>
      <w:r w:rsidRPr="007A3C41">
        <w:rPr>
          <w:rFonts w:ascii="Arial" w:hAnsi="Arial" w:cs="Arial"/>
          <w:sz w:val="18"/>
          <w:szCs w:val="18"/>
          <w:lang w:val="en-US"/>
        </w:rPr>
        <w:t>We follow the guidance provided by McKenzie in point 4 in this recent blog post</w:t>
      </w:r>
      <w:r w:rsidR="00466065">
        <w:rPr>
          <w:rFonts w:ascii="Arial" w:hAnsi="Arial" w:cs="Arial"/>
          <w:sz w:val="18"/>
          <w:szCs w:val="18"/>
          <w:lang w:val="en-US"/>
        </w:rPr>
        <w:t xml:space="preserve"> in adjusting for the reduced variance of the outcomes of interest conditional on controls</w:t>
      </w:r>
      <w:r w:rsidRPr="007A3C41">
        <w:rPr>
          <w:rFonts w:ascii="Arial" w:hAnsi="Arial" w:cs="Arial"/>
          <w:sz w:val="18"/>
          <w:szCs w:val="18"/>
          <w:lang w:val="en-US"/>
        </w:rPr>
        <w:t xml:space="preserve">: </w:t>
      </w:r>
    </w:p>
    <w:p w14:paraId="17D798AA" w14:textId="7531BBDA" w:rsidR="00605125" w:rsidRPr="007A3C41" w:rsidRDefault="00000000" w:rsidP="007A3C41">
      <w:pPr>
        <w:pStyle w:val="FootnoteText"/>
        <w:spacing w:line="240" w:lineRule="auto"/>
        <w:contextualSpacing/>
        <w:rPr>
          <w:rFonts w:ascii="Arial" w:hAnsi="Arial" w:cs="Arial"/>
          <w:sz w:val="18"/>
          <w:szCs w:val="18"/>
          <w:lang w:val="en-US"/>
        </w:rPr>
      </w:pPr>
      <w:hyperlink r:id="rId1" w:history="1">
        <w:r w:rsidR="007A3C41" w:rsidRPr="00096E06">
          <w:rPr>
            <w:rStyle w:val="Hyperlink"/>
            <w:rFonts w:ascii="Arial" w:hAnsi="Arial" w:cs="Arial"/>
            <w:sz w:val="18"/>
            <w:szCs w:val="18"/>
            <w:lang w:val="en-US"/>
          </w:rPr>
          <w:t>https://blogs.worldbank.org/impactevaluations/six-questions-about-doing-power-calculations</w:t>
        </w:r>
      </w:hyperlink>
      <w:r w:rsidR="007A3C41">
        <w:rPr>
          <w:rFonts w:ascii="Arial" w:hAnsi="Arial" w:cs="Arial"/>
          <w:sz w:val="18"/>
          <w:szCs w:val="18"/>
          <w:lang w:val="en-US"/>
        </w:rPr>
        <w:t xml:space="preserve">. </w:t>
      </w:r>
    </w:p>
  </w:footnote>
  <w:footnote w:id="17">
    <w:p w14:paraId="5C63A998" w14:textId="77777777" w:rsidR="00641A03" w:rsidRPr="00605125" w:rsidRDefault="00641A03" w:rsidP="007A3C41">
      <w:pPr>
        <w:pStyle w:val="FootnoteText"/>
        <w:spacing w:line="240" w:lineRule="auto"/>
        <w:contextualSpacing/>
        <w:rPr>
          <w:rFonts w:ascii="Arial" w:hAnsi="Arial" w:cs="Arial"/>
          <w:sz w:val="18"/>
          <w:szCs w:val="18"/>
          <w:lang w:val="en-US"/>
        </w:rPr>
      </w:pPr>
      <w:r w:rsidRPr="00605125">
        <w:rPr>
          <w:rStyle w:val="FootnoteReference"/>
          <w:rFonts w:ascii="Arial" w:hAnsi="Arial" w:cs="Arial"/>
          <w:sz w:val="18"/>
          <w:szCs w:val="18"/>
        </w:rPr>
        <w:footnoteRef/>
      </w:r>
      <w:r w:rsidRPr="00605125">
        <w:rPr>
          <w:rFonts w:ascii="Arial" w:hAnsi="Arial" w:cs="Arial"/>
          <w:sz w:val="18"/>
          <w:szCs w:val="18"/>
        </w:rPr>
        <w:t xml:space="preserve"> </w:t>
      </w:r>
      <w:r w:rsidRPr="00605125">
        <w:rPr>
          <w:rFonts w:ascii="Arial" w:hAnsi="Arial" w:cs="Arial"/>
          <w:sz w:val="18"/>
          <w:szCs w:val="18"/>
          <w:lang w:val="en-US"/>
        </w:rPr>
        <w:t>Given that our power calculations are informed by very recent data from a very similar population, we also conjecture they may be more precise than general power calculations that are estimated with typical population parameters rather than sample-specific estimates as in Bouguen and Dillon (2022).</w:t>
      </w:r>
    </w:p>
  </w:footnote>
  <w:footnote w:id="18">
    <w:p w14:paraId="363340A0" w14:textId="1051147B" w:rsidR="002710D0" w:rsidRPr="00605125" w:rsidRDefault="00472715" w:rsidP="007A3C41">
      <w:pPr>
        <w:pStyle w:val="FootnoteText"/>
        <w:spacing w:before="0" w:after="0" w:line="240" w:lineRule="auto"/>
        <w:contextualSpacing/>
        <w:rPr>
          <w:rFonts w:ascii="Arial" w:hAnsi="Arial" w:cs="Arial"/>
          <w:sz w:val="18"/>
          <w:szCs w:val="18"/>
        </w:rPr>
      </w:pPr>
      <w:r w:rsidRPr="00605125">
        <w:rPr>
          <w:rStyle w:val="FootnoteReference"/>
          <w:rFonts w:ascii="Arial" w:hAnsi="Arial" w:cs="Arial"/>
          <w:sz w:val="18"/>
          <w:szCs w:val="18"/>
        </w:rPr>
        <w:footnoteRef/>
      </w:r>
      <w:r w:rsidRPr="00605125">
        <w:rPr>
          <w:rFonts w:ascii="Arial" w:hAnsi="Arial" w:cs="Arial"/>
          <w:sz w:val="18"/>
          <w:szCs w:val="18"/>
        </w:rPr>
        <w:t xml:space="preserve"> The MDE of height-for-age in </w:t>
      </w:r>
      <w:r w:rsidRPr="00605125">
        <w:rPr>
          <w:rFonts w:cs="Arial"/>
          <w:sz w:val="18"/>
          <w:szCs w:val="18"/>
        </w:rPr>
        <w:fldChar w:fldCharType="begin"/>
      </w:r>
      <w:r w:rsidR="00276EF8">
        <w:rPr>
          <w:rFonts w:ascii="Arial" w:hAnsi="Arial" w:cs="Arial"/>
          <w:sz w:val="18"/>
          <w:szCs w:val="18"/>
        </w:rPr>
        <w:instrText xml:space="preserve"> ADDIN EN.CITE &lt;EndNote&gt;&lt;Cite AuthorYear="1"&gt;&lt;Author&gt;Bouguen&lt;/Author&gt;&lt;Year&gt;2019&lt;/Year&gt;&lt;RecNum&gt;4077&lt;/RecNum&gt;&lt;DisplayText&gt;Bouguen and Dillon (2019)&lt;/DisplayText&gt;&lt;record&gt;&lt;rec-number&gt;4077&lt;/rec-number&gt;&lt;foreign-keys&gt;&lt;key app="EN" db-id="9x0erf0zjf29fkerve3vt0te2rwzx959avzx" timestamp="1670237977"&gt;4077&lt;/key&gt;&lt;/foreign-keys&gt;&lt;ref-type name="Journal Article"&gt;17&lt;/ref-type&gt;&lt;contributors&gt;&lt;authors&gt;&lt;author&gt;Bouguen, Adrien&lt;/author&gt;&lt;author&gt;Dillon, Andrew&lt;/author&gt;&lt;/authors&gt;&lt;/contributors&gt;&lt;titles&gt;&lt;title&gt;The impact of a multidimensional program on nutrition and poverty in Burkina Faso&lt;/title&gt;&lt;secondary-title&gt;Journal of Development Economics&lt;/secondary-title&gt;&lt;/titles&gt;&lt;periodical&gt;&lt;full-title&gt;Journal of Development Economics&lt;/full-title&gt;&lt;/periodical&gt;&lt;volume&gt; Pre-results review&lt;/volume&gt;&lt;dates&gt;&lt;year&gt;2019&lt;/year&gt;&lt;/dates&gt;&lt;urls&gt;&lt;related-urls&gt;&lt;url&gt;http://jde-preresultsreview.org/#prospectivearticles&lt;/url&gt;&lt;/related-urls&gt;&lt;/urls&gt;&lt;electronic-resource-num&gt;http://jde-preresultsreview.org/#prospectivearticles&lt;/electronic-resource-num&gt;&lt;/record&gt;&lt;/Cite&gt;&lt;/EndNote&gt;</w:instrText>
      </w:r>
      <w:r w:rsidRPr="00605125">
        <w:rPr>
          <w:rFonts w:cs="Arial"/>
          <w:sz w:val="18"/>
          <w:szCs w:val="18"/>
        </w:rPr>
        <w:fldChar w:fldCharType="separate"/>
      </w:r>
      <w:r w:rsidR="008517EE" w:rsidRPr="008517EE">
        <w:rPr>
          <w:rFonts w:ascii="Arial" w:hAnsi="Arial" w:cs="Arial"/>
          <w:noProof/>
          <w:sz w:val="18"/>
          <w:szCs w:val="18"/>
        </w:rPr>
        <w:t>Bouguen and Dillon (2019)</w:t>
      </w:r>
      <w:r w:rsidRPr="00605125">
        <w:rPr>
          <w:rFonts w:cs="Arial"/>
          <w:sz w:val="18"/>
          <w:szCs w:val="18"/>
        </w:rPr>
        <w:fldChar w:fldCharType="end"/>
      </w:r>
      <w:r w:rsidRPr="00605125">
        <w:rPr>
          <w:rFonts w:ascii="Arial" w:hAnsi="Arial" w:cs="Arial"/>
          <w:sz w:val="18"/>
          <w:szCs w:val="18"/>
        </w:rPr>
        <w:t xml:space="preserve"> is 15.2% of SD.</w:t>
      </w:r>
    </w:p>
  </w:footnote>
  <w:footnote w:id="19">
    <w:p w14:paraId="0EF2C710" w14:textId="7F505D1D" w:rsidR="000942F3" w:rsidRPr="0029453B" w:rsidRDefault="000942F3" w:rsidP="00E80670">
      <w:pPr>
        <w:spacing w:before="0" w:after="0" w:line="240" w:lineRule="auto"/>
        <w:contextualSpacing/>
        <w:rPr>
          <w:rFonts w:cs="Arial"/>
          <w:sz w:val="18"/>
          <w:szCs w:val="18"/>
        </w:rPr>
      </w:pPr>
      <w:r w:rsidRPr="00470E39">
        <w:rPr>
          <w:rStyle w:val="FootnoteReference"/>
          <w:rFonts w:cs="Arial"/>
          <w:sz w:val="18"/>
          <w:szCs w:val="18"/>
        </w:rPr>
        <w:footnoteRef/>
      </w:r>
      <w:r w:rsidRPr="00470E39">
        <w:rPr>
          <w:rFonts w:cs="Arial"/>
          <w:sz w:val="18"/>
          <w:szCs w:val="18"/>
        </w:rPr>
        <w:t xml:space="preserve"> Strata were constructed based on the interaction of the following characteristics: woreda; a binary variable for whether a kebele is above or below the</w:t>
      </w:r>
      <w:r w:rsidRPr="0029453B">
        <w:rPr>
          <w:rFonts w:cs="Arial"/>
          <w:sz w:val="18"/>
          <w:szCs w:val="18"/>
        </w:rPr>
        <w:t xml:space="preserve"> woreda-level median in the percentage of households eligible for the PSNP; and a binary variable for whether the kebele is above or below the woreda-level median in distance from the woreda capital).  </w:t>
      </w:r>
    </w:p>
  </w:footnote>
  <w:footnote w:id="20">
    <w:p w14:paraId="1CB410C1" w14:textId="1D9EB04E" w:rsidR="001C409D" w:rsidRPr="0029453B" w:rsidRDefault="001C409D" w:rsidP="00F60179">
      <w:pPr>
        <w:pStyle w:val="FootnoteText"/>
        <w:spacing w:before="0" w:after="0" w:line="240" w:lineRule="auto"/>
        <w:contextualSpacing/>
        <w:rPr>
          <w:rFonts w:ascii="Arial" w:hAnsi="Arial" w:cs="Arial"/>
          <w:sz w:val="18"/>
          <w:szCs w:val="18"/>
        </w:rPr>
      </w:pPr>
      <w:r w:rsidRPr="002A1C5A">
        <w:rPr>
          <w:rStyle w:val="FootnoteReference"/>
          <w:rFonts w:ascii="Arial" w:hAnsi="Arial" w:cs="Arial"/>
          <w:sz w:val="18"/>
          <w:szCs w:val="18"/>
        </w:rPr>
        <w:footnoteRef/>
      </w:r>
      <w:r w:rsidRPr="002A1C5A">
        <w:rPr>
          <w:rFonts w:ascii="Arial" w:hAnsi="Arial" w:cs="Arial"/>
          <w:sz w:val="18"/>
          <w:szCs w:val="18"/>
        </w:rPr>
        <w:t xml:space="preserve"> Relative to the baseline and endline surveys, the midline survey will be less extensive in scope. In the baseline and endline surveys, the interviews will be conducted with both the primary female respondent (pregnant or lactating woman at the baseline) and her spouse. In the midline survey, the primary respondent will be the primary female only.</w:t>
      </w:r>
    </w:p>
  </w:footnote>
  <w:footnote w:id="21">
    <w:p w14:paraId="655262E6" w14:textId="7388859E" w:rsidR="002A1C5A" w:rsidRPr="0029453B" w:rsidRDefault="002A1C5A" w:rsidP="0029453B">
      <w:pPr>
        <w:pStyle w:val="FootnoteText"/>
        <w:spacing w:line="240" w:lineRule="auto"/>
        <w:rPr>
          <w:rFonts w:ascii="Arial" w:hAnsi="Arial" w:cs="Arial"/>
          <w:sz w:val="18"/>
          <w:szCs w:val="18"/>
          <w:lang w:val="en-US"/>
        </w:rPr>
      </w:pPr>
      <w:r w:rsidRPr="0029453B">
        <w:rPr>
          <w:rStyle w:val="FootnoteReference"/>
          <w:rFonts w:ascii="Arial" w:hAnsi="Arial" w:cs="Arial"/>
          <w:sz w:val="18"/>
          <w:szCs w:val="18"/>
        </w:rPr>
        <w:footnoteRef/>
      </w:r>
      <w:r w:rsidRPr="0029453B">
        <w:rPr>
          <w:rFonts w:ascii="Arial" w:hAnsi="Arial" w:cs="Arial"/>
          <w:sz w:val="18"/>
          <w:szCs w:val="18"/>
        </w:rPr>
        <w:t xml:space="preserve"> These two categories are not mutually exclusive, given that some households may receive direct support for part of the year, typically during pregnancy and a child’s first year of life, but otherwise receive public works benefits.  </w:t>
      </w:r>
    </w:p>
  </w:footnote>
  <w:footnote w:id="22">
    <w:p w14:paraId="155D900F" w14:textId="7963903E" w:rsidR="00DC116B" w:rsidRPr="00BF1ABE" w:rsidRDefault="00DC116B" w:rsidP="00BF1ABE">
      <w:pPr>
        <w:pStyle w:val="FootnoteText"/>
        <w:spacing w:line="240" w:lineRule="auto"/>
        <w:rPr>
          <w:rFonts w:ascii="Arial" w:hAnsi="Arial" w:cs="Arial"/>
          <w:sz w:val="20"/>
          <w:szCs w:val="20"/>
          <w:lang w:val="en-US"/>
        </w:rPr>
      </w:pPr>
      <w:r w:rsidRPr="00BF1ABE">
        <w:rPr>
          <w:rStyle w:val="FootnoteReference"/>
          <w:rFonts w:ascii="Arial" w:hAnsi="Arial" w:cs="Arial"/>
          <w:sz w:val="18"/>
          <w:szCs w:val="18"/>
        </w:rPr>
        <w:footnoteRef/>
      </w:r>
      <w:r w:rsidRPr="00BF1ABE">
        <w:rPr>
          <w:rFonts w:ascii="Arial" w:hAnsi="Arial" w:cs="Arial"/>
          <w:sz w:val="18"/>
          <w:szCs w:val="18"/>
        </w:rPr>
        <w:t xml:space="preserve"> We also considered exploring heterogeneity with respect to child age to see</w:t>
      </w:r>
      <w:r w:rsidR="00BF1ABE" w:rsidRPr="00BF1ABE">
        <w:rPr>
          <w:rFonts w:ascii="Arial" w:hAnsi="Arial" w:cs="Arial"/>
          <w:sz w:val="18"/>
          <w:szCs w:val="18"/>
        </w:rPr>
        <w:t xml:space="preserve"> if </w:t>
      </w:r>
      <w:r w:rsidR="00BF1ABE">
        <w:rPr>
          <w:rFonts w:ascii="Arial" w:hAnsi="Arial" w:cs="Arial"/>
          <w:sz w:val="18"/>
          <w:szCs w:val="18"/>
        </w:rPr>
        <w:t xml:space="preserve">longer </w:t>
      </w:r>
      <w:r w:rsidR="00BF1ABE" w:rsidRPr="00BF1ABE">
        <w:rPr>
          <w:rFonts w:ascii="Arial" w:hAnsi="Arial" w:cs="Arial"/>
          <w:sz w:val="18"/>
          <w:szCs w:val="18"/>
        </w:rPr>
        <w:t xml:space="preserve">exposure to BCC or </w:t>
      </w:r>
      <w:r w:rsidR="00BF1ABE">
        <w:rPr>
          <w:rFonts w:ascii="Arial" w:hAnsi="Arial" w:cs="Arial"/>
          <w:sz w:val="18"/>
          <w:szCs w:val="18"/>
        </w:rPr>
        <w:t xml:space="preserve">maternal </w:t>
      </w:r>
      <w:r w:rsidR="00BF1ABE" w:rsidRPr="00BF1ABE">
        <w:rPr>
          <w:rFonts w:ascii="Arial" w:hAnsi="Arial" w:cs="Arial"/>
          <w:sz w:val="18"/>
          <w:szCs w:val="18"/>
        </w:rPr>
        <w:t>cash transfers</w:t>
      </w:r>
      <w:r w:rsidR="00BF1ABE">
        <w:rPr>
          <w:rFonts w:ascii="Arial" w:hAnsi="Arial" w:cs="Arial"/>
          <w:sz w:val="18"/>
          <w:szCs w:val="18"/>
        </w:rPr>
        <w:t xml:space="preserve"> during the 1,000-day window would result in stronger positive impacts on IYCF or child anthropometrics. However, since we do not have a staggered rollout of the intervention, it would be impossible to disentangle treatment exposure effects from </w:t>
      </w:r>
      <w:r w:rsidR="00646EC1">
        <w:rPr>
          <w:rFonts w:ascii="Arial" w:hAnsi="Arial" w:cs="Arial"/>
          <w:sz w:val="18"/>
          <w:szCs w:val="18"/>
        </w:rPr>
        <w:t xml:space="preserve">age or </w:t>
      </w:r>
      <w:r w:rsidR="00BF1ABE">
        <w:rPr>
          <w:rFonts w:ascii="Arial" w:hAnsi="Arial" w:cs="Arial"/>
          <w:sz w:val="18"/>
          <w:szCs w:val="18"/>
        </w:rPr>
        <w:t xml:space="preserve">time effects (e.g., season of birth). </w:t>
      </w:r>
      <w:r w:rsidR="00646EC1">
        <w:rPr>
          <w:rFonts w:ascii="Arial" w:hAnsi="Arial" w:cs="Arial"/>
          <w:sz w:val="18"/>
          <w:szCs w:val="18"/>
        </w:rPr>
        <w:t>Therefore,</w:t>
      </w:r>
      <w:r w:rsidR="00BF1ABE">
        <w:rPr>
          <w:rFonts w:ascii="Arial" w:hAnsi="Arial" w:cs="Arial"/>
          <w:sz w:val="18"/>
          <w:szCs w:val="18"/>
        </w:rPr>
        <w:t xml:space="preserve"> we do not explore this dimension of heterogeneity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0FE0" w14:textId="77777777" w:rsidR="00334DF2" w:rsidRDefault="00334DF2">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F4E1" w14:textId="77777777" w:rsidR="00334DF2" w:rsidRDefault="00334DF2">
    <w:pPr>
      <w:tabs>
        <w:tab w:val="center" w:pos="4680"/>
        <w:tab w:val="right" w:pos="93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CE9A" w14:textId="77777777" w:rsidR="00334DF2" w:rsidRDefault="00334DF2">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B3EC" w14:textId="77777777" w:rsidR="00F408D9" w:rsidRDefault="00F408D9" w:rsidP="007D5801"/>
  <w:p w14:paraId="0B386252" w14:textId="77777777" w:rsidR="00B8408A" w:rsidRDefault="00B840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EE8"/>
    <w:multiLevelType w:val="hybridMultilevel"/>
    <w:tmpl w:val="BCEAFDEE"/>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6657C"/>
    <w:multiLevelType w:val="hybridMultilevel"/>
    <w:tmpl w:val="3E36F250"/>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5E83"/>
    <w:multiLevelType w:val="hybridMultilevel"/>
    <w:tmpl w:val="49A0FB8C"/>
    <w:lvl w:ilvl="0" w:tplc="60E6D71A">
      <w:start w:val="1"/>
      <w:numFmt w:val="bullet"/>
      <w:lvlText w:val="-"/>
      <w:lvlJc w:val="left"/>
      <w:pPr>
        <w:ind w:left="720" w:hanging="360"/>
      </w:pPr>
      <w:rPr>
        <w:rFonts w:ascii="Arial" w:eastAsia="Arial"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0A77"/>
    <w:multiLevelType w:val="hybridMultilevel"/>
    <w:tmpl w:val="677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34388"/>
    <w:multiLevelType w:val="hybridMultilevel"/>
    <w:tmpl w:val="15B87EB8"/>
    <w:lvl w:ilvl="0" w:tplc="B76EA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E25FB"/>
    <w:multiLevelType w:val="hybridMultilevel"/>
    <w:tmpl w:val="48AC7960"/>
    <w:lvl w:ilvl="0" w:tplc="D57EF9C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816A7"/>
    <w:multiLevelType w:val="hybridMultilevel"/>
    <w:tmpl w:val="57D4E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7B0"/>
    <w:multiLevelType w:val="hybridMultilevel"/>
    <w:tmpl w:val="7A84A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E3011"/>
    <w:multiLevelType w:val="multilevel"/>
    <w:tmpl w:val="8C68E4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0266D0"/>
    <w:multiLevelType w:val="multilevel"/>
    <w:tmpl w:val="23105F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rPr>
        <w:i w:val="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9DE708C"/>
    <w:multiLevelType w:val="hybridMultilevel"/>
    <w:tmpl w:val="1B829C70"/>
    <w:lvl w:ilvl="0" w:tplc="097AF19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C7A93"/>
    <w:multiLevelType w:val="multilevel"/>
    <w:tmpl w:val="59568F1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753CAB"/>
    <w:multiLevelType w:val="multilevel"/>
    <w:tmpl w:val="39EEEEDE"/>
    <w:lvl w:ilvl="0">
      <w:start w:val="10"/>
      <w:numFmt w:val="upperLetter"/>
      <w:lvlText w:val="%1"/>
      <w:lvlJc w:val="left"/>
      <w:pPr>
        <w:ind w:left="120" w:hanging="252"/>
      </w:pPr>
    </w:lvl>
    <w:lvl w:ilvl="1">
      <w:start w:val="16"/>
      <w:numFmt w:val="upperLetter"/>
      <w:lvlText w:val="%1-%2"/>
      <w:lvlJc w:val="left"/>
      <w:pPr>
        <w:ind w:left="120" w:hanging="252"/>
      </w:pPr>
      <w:rPr>
        <w:rFonts w:ascii="Calibri" w:eastAsia="Calibri" w:hAnsi="Calibri" w:cs="Calibri"/>
        <w:sz w:val="22"/>
        <w:szCs w:val="22"/>
      </w:rPr>
    </w:lvl>
    <w:lvl w:ilvl="2">
      <w:start w:val="1"/>
      <w:numFmt w:val="bullet"/>
      <w:lvlText w:val="●"/>
      <w:lvlJc w:val="left"/>
      <w:pPr>
        <w:ind w:left="840" w:hanging="360"/>
      </w:pPr>
      <w:rPr>
        <w:rFonts w:ascii="Noto Sans Symbols" w:eastAsia="Noto Sans Symbols" w:hAnsi="Noto Sans Symbols" w:cs="Noto Sans Symbols"/>
        <w:sz w:val="22"/>
        <w:szCs w:val="22"/>
      </w:rPr>
    </w:lvl>
    <w:lvl w:ilvl="3">
      <w:start w:val="1"/>
      <w:numFmt w:val="bullet"/>
      <w:lvlText w:val="•"/>
      <w:lvlJc w:val="left"/>
      <w:pPr>
        <w:ind w:left="2760" w:hanging="360"/>
      </w:pPr>
    </w:lvl>
    <w:lvl w:ilvl="4">
      <w:start w:val="1"/>
      <w:numFmt w:val="bullet"/>
      <w:lvlText w:val="•"/>
      <w:lvlJc w:val="left"/>
      <w:pPr>
        <w:ind w:left="3720" w:hanging="360"/>
      </w:pPr>
    </w:lvl>
    <w:lvl w:ilvl="5">
      <w:start w:val="1"/>
      <w:numFmt w:val="bullet"/>
      <w:lvlText w:val="•"/>
      <w:lvlJc w:val="left"/>
      <w:pPr>
        <w:ind w:left="4680" w:hanging="360"/>
      </w:pPr>
    </w:lvl>
    <w:lvl w:ilvl="6">
      <w:start w:val="1"/>
      <w:numFmt w:val="bullet"/>
      <w:lvlText w:val="•"/>
      <w:lvlJc w:val="left"/>
      <w:pPr>
        <w:ind w:left="5640" w:hanging="360"/>
      </w:pPr>
    </w:lvl>
    <w:lvl w:ilvl="7">
      <w:start w:val="1"/>
      <w:numFmt w:val="bullet"/>
      <w:lvlText w:val="•"/>
      <w:lvlJc w:val="left"/>
      <w:pPr>
        <w:ind w:left="6600" w:hanging="360"/>
      </w:pPr>
    </w:lvl>
    <w:lvl w:ilvl="8">
      <w:start w:val="1"/>
      <w:numFmt w:val="bullet"/>
      <w:lvlText w:val="•"/>
      <w:lvlJc w:val="left"/>
      <w:pPr>
        <w:ind w:left="7560" w:hanging="360"/>
      </w:pPr>
    </w:lvl>
  </w:abstractNum>
  <w:abstractNum w:abstractNumId="13" w15:restartNumberingAfterBreak="0">
    <w:nsid w:val="2EFD539A"/>
    <w:multiLevelType w:val="multilevel"/>
    <w:tmpl w:val="F4483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FE0E63"/>
    <w:multiLevelType w:val="hybridMultilevel"/>
    <w:tmpl w:val="60D4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15D10"/>
    <w:multiLevelType w:val="multilevel"/>
    <w:tmpl w:val="DCF8BD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2D29F2"/>
    <w:multiLevelType w:val="hybridMultilevel"/>
    <w:tmpl w:val="0C9E8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C0A65"/>
    <w:multiLevelType w:val="multilevel"/>
    <w:tmpl w:val="1040C9E2"/>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18" w15:restartNumberingAfterBreak="0">
    <w:nsid w:val="422C5CA3"/>
    <w:multiLevelType w:val="hybridMultilevel"/>
    <w:tmpl w:val="28E2DA70"/>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B7515"/>
    <w:multiLevelType w:val="hybridMultilevel"/>
    <w:tmpl w:val="5808A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40471"/>
    <w:multiLevelType w:val="multilevel"/>
    <w:tmpl w:val="3C2E0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4E3456"/>
    <w:multiLevelType w:val="hybridMultilevel"/>
    <w:tmpl w:val="539E51A4"/>
    <w:lvl w:ilvl="0" w:tplc="B7744E8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F639B"/>
    <w:multiLevelType w:val="hybridMultilevel"/>
    <w:tmpl w:val="BE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A7D5D"/>
    <w:multiLevelType w:val="multilevel"/>
    <w:tmpl w:val="5A2A96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0D69B6"/>
    <w:multiLevelType w:val="multilevel"/>
    <w:tmpl w:val="58B484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EA2F3E"/>
    <w:multiLevelType w:val="multilevel"/>
    <w:tmpl w:val="174E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9035BC"/>
    <w:multiLevelType w:val="hybridMultilevel"/>
    <w:tmpl w:val="6D84C2FE"/>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A5580"/>
    <w:multiLevelType w:val="hybridMultilevel"/>
    <w:tmpl w:val="BA724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15EAA"/>
    <w:multiLevelType w:val="multilevel"/>
    <w:tmpl w:val="CF0C9966"/>
    <w:lvl w:ilvl="0">
      <w:start w:val="1"/>
      <w:numFmt w:val="bullet"/>
      <w:lvlText w:val="●"/>
      <w:lvlJc w:val="left"/>
      <w:pPr>
        <w:ind w:left="840" w:hanging="360"/>
      </w:pPr>
      <w:rPr>
        <w:rFonts w:ascii="Noto Sans Symbols" w:eastAsia="Noto Sans Symbols" w:hAnsi="Noto Sans Symbols" w:cs="Noto Sans Symbols"/>
        <w:sz w:val="22"/>
        <w:szCs w:val="22"/>
      </w:rPr>
    </w:lvl>
    <w:lvl w:ilvl="1">
      <w:start w:val="1"/>
      <w:numFmt w:val="bullet"/>
      <w:lvlText w:val="•"/>
      <w:lvlJc w:val="left"/>
      <w:pPr>
        <w:ind w:left="1708" w:hanging="360"/>
      </w:pPr>
    </w:lvl>
    <w:lvl w:ilvl="2">
      <w:start w:val="1"/>
      <w:numFmt w:val="bullet"/>
      <w:lvlText w:val="•"/>
      <w:lvlJc w:val="left"/>
      <w:pPr>
        <w:ind w:left="2576" w:hanging="360"/>
      </w:pPr>
    </w:lvl>
    <w:lvl w:ilvl="3">
      <w:start w:val="1"/>
      <w:numFmt w:val="bullet"/>
      <w:lvlText w:val="•"/>
      <w:lvlJc w:val="left"/>
      <w:pPr>
        <w:ind w:left="3444" w:hanging="360"/>
      </w:pPr>
    </w:lvl>
    <w:lvl w:ilvl="4">
      <w:start w:val="1"/>
      <w:numFmt w:val="bullet"/>
      <w:lvlText w:val="•"/>
      <w:lvlJc w:val="left"/>
      <w:pPr>
        <w:ind w:left="4312" w:hanging="360"/>
      </w:pPr>
    </w:lvl>
    <w:lvl w:ilvl="5">
      <w:start w:val="1"/>
      <w:numFmt w:val="bullet"/>
      <w:lvlText w:val="•"/>
      <w:lvlJc w:val="left"/>
      <w:pPr>
        <w:ind w:left="5180" w:hanging="360"/>
      </w:pPr>
    </w:lvl>
    <w:lvl w:ilvl="6">
      <w:start w:val="1"/>
      <w:numFmt w:val="bullet"/>
      <w:lvlText w:val="•"/>
      <w:lvlJc w:val="left"/>
      <w:pPr>
        <w:ind w:left="6048" w:hanging="360"/>
      </w:pPr>
    </w:lvl>
    <w:lvl w:ilvl="7">
      <w:start w:val="1"/>
      <w:numFmt w:val="bullet"/>
      <w:lvlText w:val="•"/>
      <w:lvlJc w:val="left"/>
      <w:pPr>
        <w:ind w:left="6916" w:hanging="360"/>
      </w:pPr>
    </w:lvl>
    <w:lvl w:ilvl="8">
      <w:start w:val="1"/>
      <w:numFmt w:val="bullet"/>
      <w:lvlText w:val="•"/>
      <w:lvlJc w:val="left"/>
      <w:pPr>
        <w:ind w:left="7784" w:hanging="360"/>
      </w:pPr>
    </w:lvl>
  </w:abstractNum>
  <w:abstractNum w:abstractNumId="29" w15:restartNumberingAfterBreak="0">
    <w:nsid w:val="682D6698"/>
    <w:multiLevelType w:val="hybridMultilevel"/>
    <w:tmpl w:val="7D62BCF6"/>
    <w:lvl w:ilvl="0" w:tplc="60E6D71A">
      <w:start w:val="1"/>
      <w:numFmt w:val="bullet"/>
      <w:lvlText w:val="-"/>
      <w:lvlJc w:val="left"/>
      <w:pPr>
        <w:ind w:left="720" w:hanging="360"/>
      </w:pPr>
      <w:rPr>
        <w:rFonts w:ascii="Arial" w:eastAsia="Arial"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32DDB"/>
    <w:multiLevelType w:val="hybridMultilevel"/>
    <w:tmpl w:val="F29267C4"/>
    <w:lvl w:ilvl="0" w:tplc="A7BC659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D2538"/>
    <w:multiLevelType w:val="multilevel"/>
    <w:tmpl w:val="41EC603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78372B45"/>
    <w:multiLevelType w:val="hybridMultilevel"/>
    <w:tmpl w:val="8A9042B0"/>
    <w:lvl w:ilvl="0" w:tplc="6A90AB1A">
      <w:start w:val="2"/>
      <w:numFmt w:val="bullet"/>
      <w:lvlText w:val=""/>
      <w:lvlJc w:val="left"/>
      <w:pPr>
        <w:ind w:left="720" w:hanging="360"/>
      </w:pPr>
      <w:rPr>
        <w:rFonts w:ascii="Symbol" w:eastAsia="Arial"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B46DC"/>
    <w:multiLevelType w:val="hybridMultilevel"/>
    <w:tmpl w:val="98FEED6C"/>
    <w:lvl w:ilvl="0" w:tplc="A7BC65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027AB"/>
    <w:multiLevelType w:val="multilevel"/>
    <w:tmpl w:val="157446AE"/>
    <w:lvl w:ilvl="0">
      <w:start w:val="1"/>
      <w:numFmt w:val="lowerRoman"/>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5400808">
    <w:abstractNumId w:val="10"/>
  </w:num>
  <w:num w:numId="2" w16cid:durableId="1286351640">
    <w:abstractNumId w:val="11"/>
  </w:num>
  <w:num w:numId="3" w16cid:durableId="6317129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93709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8460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3515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0568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3252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6665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713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4278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6785337">
    <w:abstractNumId w:val="0"/>
  </w:num>
  <w:num w:numId="13" w16cid:durableId="1193229231">
    <w:abstractNumId w:val="4"/>
  </w:num>
  <w:num w:numId="14" w16cid:durableId="747969561">
    <w:abstractNumId w:val="6"/>
  </w:num>
  <w:num w:numId="15" w16cid:durableId="1858696247">
    <w:abstractNumId w:val="3"/>
  </w:num>
  <w:num w:numId="16" w16cid:durableId="1617908713">
    <w:abstractNumId w:val="19"/>
  </w:num>
  <w:num w:numId="17" w16cid:durableId="1721201961">
    <w:abstractNumId w:val="34"/>
  </w:num>
  <w:num w:numId="18" w16cid:durableId="61294759">
    <w:abstractNumId w:val="31"/>
  </w:num>
  <w:num w:numId="19" w16cid:durableId="18918394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zMTWyNDK2MDAxM7VU0lEKTi0uzszPAykwNqoFABpissstAAAA"/>
    <w:docVar w:name="EN.InstantFormat" w:val="&lt;ENInstantFormat&gt;&lt;Enabled&gt;1&lt;/Enabled&gt;&lt;ScanUnformatted&gt;1&lt;/ScanUnformatted&gt;&lt;ScanChanges&gt;1&lt;/ScanChanges&gt;&lt;Suspended&gt;1&lt;/Suspended&gt;&lt;/ENInstantFormat&gt;"/>
    <w:docVar w:name="EN.Layout" w:val="&lt;ENLayout&gt;&lt;Style&gt;J Development Ec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erf0zjf29fkerve3vt0te2rwzx959avzx&quot;&gt;My EndNote Library&lt;record-ids&gt;&lt;item&gt;120&lt;/item&gt;&lt;item&gt;128&lt;/item&gt;&lt;item&gt;199&lt;/item&gt;&lt;item&gt;504&lt;/item&gt;&lt;item&gt;505&lt;/item&gt;&lt;item&gt;507&lt;/item&gt;&lt;item&gt;591&lt;/item&gt;&lt;item&gt;682&lt;/item&gt;&lt;item&gt;705&lt;/item&gt;&lt;item&gt;1004&lt;/item&gt;&lt;item&gt;1017&lt;/item&gt;&lt;item&gt;1038&lt;/item&gt;&lt;item&gt;1041&lt;/item&gt;&lt;item&gt;1043&lt;/item&gt;&lt;item&gt;1179&lt;/item&gt;&lt;item&gt;1274&lt;/item&gt;&lt;item&gt;1423&lt;/item&gt;&lt;item&gt;1424&lt;/item&gt;&lt;item&gt;1523&lt;/item&gt;&lt;item&gt;1601&lt;/item&gt;&lt;item&gt;1701&lt;/item&gt;&lt;item&gt;1816&lt;/item&gt;&lt;item&gt;1848&lt;/item&gt;&lt;item&gt;1855&lt;/item&gt;&lt;item&gt;1900&lt;/item&gt;&lt;item&gt;1934&lt;/item&gt;&lt;item&gt;2015&lt;/item&gt;&lt;item&gt;2083&lt;/item&gt;&lt;item&gt;2096&lt;/item&gt;&lt;item&gt;2099&lt;/item&gt;&lt;item&gt;2102&lt;/item&gt;&lt;item&gt;2104&lt;/item&gt;&lt;item&gt;2266&lt;/item&gt;&lt;item&gt;2381&lt;/item&gt;&lt;item&gt;2440&lt;/item&gt;&lt;item&gt;2446&lt;/item&gt;&lt;item&gt;2454&lt;/item&gt;&lt;item&gt;2492&lt;/item&gt;&lt;item&gt;2539&lt;/item&gt;&lt;item&gt;3073&lt;/item&gt;&lt;item&gt;3785&lt;/item&gt;&lt;item&gt;3789&lt;/item&gt;&lt;item&gt;3916&lt;/item&gt;&lt;item&gt;3940&lt;/item&gt;&lt;item&gt;3949&lt;/item&gt;&lt;item&gt;3950&lt;/item&gt;&lt;item&gt;3952&lt;/item&gt;&lt;item&gt;3964&lt;/item&gt;&lt;item&gt;4005&lt;/item&gt;&lt;item&gt;4071&lt;/item&gt;&lt;item&gt;4072&lt;/item&gt;&lt;item&gt;4073&lt;/item&gt;&lt;item&gt;4074&lt;/item&gt;&lt;item&gt;4075&lt;/item&gt;&lt;item&gt;4076&lt;/item&gt;&lt;item&gt;4077&lt;/item&gt;&lt;item&gt;4080&lt;/item&gt;&lt;item&gt;4083&lt;/item&gt;&lt;item&gt;4104&lt;/item&gt;&lt;item&gt;4105&lt;/item&gt;&lt;item&gt;4106&lt;/item&gt;&lt;item&gt;4108&lt;/item&gt;&lt;item&gt;4109&lt;/item&gt;&lt;item&gt;4111&lt;/item&gt;&lt;item&gt;4112&lt;/item&gt;&lt;item&gt;4116&lt;/item&gt;&lt;item&gt;4117&lt;/item&gt;&lt;item&gt;4146&lt;/item&gt;&lt;item&gt;4147&lt;/item&gt;&lt;item&gt;4155&lt;/item&gt;&lt;item&gt;4188&lt;/item&gt;&lt;/record-ids&gt;&lt;/item&gt;&lt;/Libraries&gt;"/>
  </w:docVars>
  <w:rsids>
    <w:rsidRoot w:val="007048BE"/>
    <w:rsid w:val="00004E9C"/>
    <w:rsid w:val="000054F9"/>
    <w:rsid w:val="00014088"/>
    <w:rsid w:val="000143E3"/>
    <w:rsid w:val="00015062"/>
    <w:rsid w:val="00022657"/>
    <w:rsid w:val="00025065"/>
    <w:rsid w:val="00026235"/>
    <w:rsid w:val="00031A67"/>
    <w:rsid w:val="00033202"/>
    <w:rsid w:val="00035EB4"/>
    <w:rsid w:val="00037B41"/>
    <w:rsid w:val="000408E4"/>
    <w:rsid w:val="000429CA"/>
    <w:rsid w:val="0004580D"/>
    <w:rsid w:val="00051432"/>
    <w:rsid w:val="0005384E"/>
    <w:rsid w:val="00057B28"/>
    <w:rsid w:val="00061186"/>
    <w:rsid w:val="000624B8"/>
    <w:rsid w:val="00064CCD"/>
    <w:rsid w:val="00065703"/>
    <w:rsid w:val="00072F9B"/>
    <w:rsid w:val="000764BD"/>
    <w:rsid w:val="00076AE9"/>
    <w:rsid w:val="00082CA7"/>
    <w:rsid w:val="00087AD6"/>
    <w:rsid w:val="000942F3"/>
    <w:rsid w:val="00096543"/>
    <w:rsid w:val="00096779"/>
    <w:rsid w:val="000A0F0E"/>
    <w:rsid w:val="000A26A4"/>
    <w:rsid w:val="000B118F"/>
    <w:rsid w:val="000B54C5"/>
    <w:rsid w:val="000B650A"/>
    <w:rsid w:val="000B69E2"/>
    <w:rsid w:val="000C1035"/>
    <w:rsid w:val="000C49D3"/>
    <w:rsid w:val="000C5AB0"/>
    <w:rsid w:val="000C69A0"/>
    <w:rsid w:val="000C7350"/>
    <w:rsid w:val="000D5692"/>
    <w:rsid w:val="000D576A"/>
    <w:rsid w:val="000D6801"/>
    <w:rsid w:val="000E01D9"/>
    <w:rsid w:val="000E1A85"/>
    <w:rsid w:val="000E3AE5"/>
    <w:rsid w:val="000F0634"/>
    <w:rsid w:val="000F5B91"/>
    <w:rsid w:val="0010068B"/>
    <w:rsid w:val="00102CBE"/>
    <w:rsid w:val="001048E5"/>
    <w:rsid w:val="00104BD1"/>
    <w:rsid w:val="001110DC"/>
    <w:rsid w:val="00116302"/>
    <w:rsid w:val="001238A4"/>
    <w:rsid w:val="00123D55"/>
    <w:rsid w:val="00124121"/>
    <w:rsid w:val="00124B42"/>
    <w:rsid w:val="00130C0B"/>
    <w:rsid w:val="001313C7"/>
    <w:rsid w:val="00137F40"/>
    <w:rsid w:val="00140278"/>
    <w:rsid w:val="00142297"/>
    <w:rsid w:val="001424FA"/>
    <w:rsid w:val="001468BA"/>
    <w:rsid w:val="00147809"/>
    <w:rsid w:val="00147F42"/>
    <w:rsid w:val="001509A7"/>
    <w:rsid w:val="00160BCE"/>
    <w:rsid w:val="00160DF5"/>
    <w:rsid w:val="00161B4E"/>
    <w:rsid w:val="00161C49"/>
    <w:rsid w:val="00161EF7"/>
    <w:rsid w:val="00167676"/>
    <w:rsid w:val="001713CB"/>
    <w:rsid w:val="001779FC"/>
    <w:rsid w:val="00183A3C"/>
    <w:rsid w:val="00184041"/>
    <w:rsid w:val="0018542D"/>
    <w:rsid w:val="001941B7"/>
    <w:rsid w:val="0019796D"/>
    <w:rsid w:val="001A2895"/>
    <w:rsid w:val="001A4A42"/>
    <w:rsid w:val="001A68AA"/>
    <w:rsid w:val="001A75A7"/>
    <w:rsid w:val="001B718F"/>
    <w:rsid w:val="001B7D25"/>
    <w:rsid w:val="001C1BE2"/>
    <w:rsid w:val="001C257F"/>
    <w:rsid w:val="001C2C52"/>
    <w:rsid w:val="001C388C"/>
    <w:rsid w:val="001C409D"/>
    <w:rsid w:val="001C791B"/>
    <w:rsid w:val="001C7F2A"/>
    <w:rsid w:val="001D1F52"/>
    <w:rsid w:val="001D3294"/>
    <w:rsid w:val="001D6246"/>
    <w:rsid w:val="001D7471"/>
    <w:rsid w:val="001E0D64"/>
    <w:rsid w:val="001E0D81"/>
    <w:rsid w:val="001E50BE"/>
    <w:rsid w:val="001E52F2"/>
    <w:rsid w:val="001F48A9"/>
    <w:rsid w:val="001F549D"/>
    <w:rsid w:val="0020056E"/>
    <w:rsid w:val="0020089A"/>
    <w:rsid w:val="0020176C"/>
    <w:rsid w:val="00204D8F"/>
    <w:rsid w:val="0020545E"/>
    <w:rsid w:val="002103EA"/>
    <w:rsid w:val="00213421"/>
    <w:rsid w:val="002176D9"/>
    <w:rsid w:val="00221518"/>
    <w:rsid w:val="00221A96"/>
    <w:rsid w:val="00223948"/>
    <w:rsid w:val="00224B40"/>
    <w:rsid w:val="00227E07"/>
    <w:rsid w:val="00230CB0"/>
    <w:rsid w:val="00231C43"/>
    <w:rsid w:val="00232395"/>
    <w:rsid w:val="00233FF8"/>
    <w:rsid w:val="002360CF"/>
    <w:rsid w:val="00236B07"/>
    <w:rsid w:val="00240EC8"/>
    <w:rsid w:val="00241994"/>
    <w:rsid w:val="00243BD1"/>
    <w:rsid w:val="002460F8"/>
    <w:rsid w:val="00247C2E"/>
    <w:rsid w:val="00252775"/>
    <w:rsid w:val="00252827"/>
    <w:rsid w:val="00252A23"/>
    <w:rsid w:val="00256F81"/>
    <w:rsid w:val="00257E64"/>
    <w:rsid w:val="00257FD9"/>
    <w:rsid w:val="00260808"/>
    <w:rsid w:val="00265682"/>
    <w:rsid w:val="00265DB1"/>
    <w:rsid w:val="002707E7"/>
    <w:rsid w:val="002710D0"/>
    <w:rsid w:val="002736EC"/>
    <w:rsid w:val="002738EF"/>
    <w:rsid w:val="0027464E"/>
    <w:rsid w:val="0027479D"/>
    <w:rsid w:val="00276EF8"/>
    <w:rsid w:val="00277E23"/>
    <w:rsid w:val="00280403"/>
    <w:rsid w:val="00280C14"/>
    <w:rsid w:val="00285330"/>
    <w:rsid w:val="0029453B"/>
    <w:rsid w:val="00295B7A"/>
    <w:rsid w:val="00296D66"/>
    <w:rsid w:val="002A1C5A"/>
    <w:rsid w:val="002B0692"/>
    <w:rsid w:val="002B407C"/>
    <w:rsid w:val="002B719F"/>
    <w:rsid w:val="002B795B"/>
    <w:rsid w:val="002C24D3"/>
    <w:rsid w:val="002C4495"/>
    <w:rsid w:val="002C5122"/>
    <w:rsid w:val="002C5DB1"/>
    <w:rsid w:val="002D05AE"/>
    <w:rsid w:val="002D2CED"/>
    <w:rsid w:val="002D37B0"/>
    <w:rsid w:val="002D39AA"/>
    <w:rsid w:val="002D3A05"/>
    <w:rsid w:val="002D6EDA"/>
    <w:rsid w:val="002E5203"/>
    <w:rsid w:val="002E6CFD"/>
    <w:rsid w:val="002E7031"/>
    <w:rsid w:val="002E7278"/>
    <w:rsid w:val="002F1B63"/>
    <w:rsid w:val="002F1C8D"/>
    <w:rsid w:val="00301C25"/>
    <w:rsid w:val="00301DC6"/>
    <w:rsid w:val="00303910"/>
    <w:rsid w:val="00306D29"/>
    <w:rsid w:val="00307B00"/>
    <w:rsid w:val="003110C0"/>
    <w:rsid w:val="0031153F"/>
    <w:rsid w:val="003115CA"/>
    <w:rsid w:val="00316DD8"/>
    <w:rsid w:val="00324748"/>
    <w:rsid w:val="00324CCC"/>
    <w:rsid w:val="0032696B"/>
    <w:rsid w:val="00331E72"/>
    <w:rsid w:val="00333233"/>
    <w:rsid w:val="00334DF2"/>
    <w:rsid w:val="00341F2A"/>
    <w:rsid w:val="0034208D"/>
    <w:rsid w:val="0034210D"/>
    <w:rsid w:val="003435CD"/>
    <w:rsid w:val="003436D5"/>
    <w:rsid w:val="00344752"/>
    <w:rsid w:val="00350ECB"/>
    <w:rsid w:val="003517CA"/>
    <w:rsid w:val="00353AB1"/>
    <w:rsid w:val="00354887"/>
    <w:rsid w:val="00357C39"/>
    <w:rsid w:val="00365D09"/>
    <w:rsid w:val="003744FB"/>
    <w:rsid w:val="00377F05"/>
    <w:rsid w:val="003804A6"/>
    <w:rsid w:val="00384BE8"/>
    <w:rsid w:val="00384D9E"/>
    <w:rsid w:val="00391E5F"/>
    <w:rsid w:val="0039648E"/>
    <w:rsid w:val="00396E10"/>
    <w:rsid w:val="0039751E"/>
    <w:rsid w:val="003A716D"/>
    <w:rsid w:val="003B1863"/>
    <w:rsid w:val="003B2B5F"/>
    <w:rsid w:val="003B2D8C"/>
    <w:rsid w:val="003B6AC7"/>
    <w:rsid w:val="003B7720"/>
    <w:rsid w:val="003C028A"/>
    <w:rsid w:val="003C0DDE"/>
    <w:rsid w:val="003C38C3"/>
    <w:rsid w:val="003C5058"/>
    <w:rsid w:val="003C77EA"/>
    <w:rsid w:val="003D1C0C"/>
    <w:rsid w:val="003D1EEF"/>
    <w:rsid w:val="003E36AC"/>
    <w:rsid w:val="003E68C1"/>
    <w:rsid w:val="003F115C"/>
    <w:rsid w:val="003F2B88"/>
    <w:rsid w:val="003F58F1"/>
    <w:rsid w:val="004007A0"/>
    <w:rsid w:val="00402AD9"/>
    <w:rsid w:val="004053A7"/>
    <w:rsid w:val="00405584"/>
    <w:rsid w:val="00405A78"/>
    <w:rsid w:val="00407E99"/>
    <w:rsid w:val="00410553"/>
    <w:rsid w:val="00412148"/>
    <w:rsid w:val="004146BA"/>
    <w:rsid w:val="00414CFB"/>
    <w:rsid w:val="00416C9F"/>
    <w:rsid w:val="004233B7"/>
    <w:rsid w:val="004251C4"/>
    <w:rsid w:val="004271F3"/>
    <w:rsid w:val="00427430"/>
    <w:rsid w:val="004311F1"/>
    <w:rsid w:val="00432B08"/>
    <w:rsid w:val="00434ABA"/>
    <w:rsid w:val="00435E75"/>
    <w:rsid w:val="004434C8"/>
    <w:rsid w:val="00450254"/>
    <w:rsid w:val="00450D65"/>
    <w:rsid w:val="00451316"/>
    <w:rsid w:val="0045347F"/>
    <w:rsid w:val="004575F0"/>
    <w:rsid w:val="0046012F"/>
    <w:rsid w:val="00461B7C"/>
    <w:rsid w:val="00463592"/>
    <w:rsid w:val="004645B4"/>
    <w:rsid w:val="004646EA"/>
    <w:rsid w:val="00466065"/>
    <w:rsid w:val="00470E39"/>
    <w:rsid w:val="00470FD5"/>
    <w:rsid w:val="00471C09"/>
    <w:rsid w:val="00472715"/>
    <w:rsid w:val="00472A43"/>
    <w:rsid w:val="004735B8"/>
    <w:rsid w:val="0047630D"/>
    <w:rsid w:val="00476415"/>
    <w:rsid w:val="004800C8"/>
    <w:rsid w:val="00491523"/>
    <w:rsid w:val="004927E7"/>
    <w:rsid w:val="004928C9"/>
    <w:rsid w:val="0049377F"/>
    <w:rsid w:val="00493D26"/>
    <w:rsid w:val="00496858"/>
    <w:rsid w:val="00496BAB"/>
    <w:rsid w:val="00496F85"/>
    <w:rsid w:val="004B2306"/>
    <w:rsid w:val="004B4136"/>
    <w:rsid w:val="004B4462"/>
    <w:rsid w:val="004B5C2C"/>
    <w:rsid w:val="004B6ECA"/>
    <w:rsid w:val="004C0696"/>
    <w:rsid w:val="004C4184"/>
    <w:rsid w:val="004C5723"/>
    <w:rsid w:val="004D1035"/>
    <w:rsid w:val="004E0122"/>
    <w:rsid w:val="004E07C1"/>
    <w:rsid w:val="004E657D"/>
    <w:rsid w:val="004F054C"/>
    <w:rsid w:val="004F1D75"/>
    <w:rsid w:val="00500F0B"/>
    <w:rsid w:val="0050437F"/>
    <w:rsid w:val="00506D40"/>
    <w:rsid w:val="00507B87"/>
    <w:rsid w:val="005108AF"/>
    <w:rsid w:val="00511624"/>
    <w:rsid w:val="00532136"/>
    <w:rsid w:val="00533099"/>
    <w:rsid w:val="005379E4"/>
    <w:rsid w:val="00541546"/>
    <w:rsid w:val="00544E33"/>
    <w:rsid w:val="0054644F"/>
    <w:rsid w:val="0054706F"/>
    <w:rsid w:val="00547A3E"/>
    <w:rsid w:val="00550F57"/>
    <w:rsid w:val="00551A8B"/>
    <w:rsid w:val="00556CE6"/>
    <w:rsid w:val="00557572"/>
    <w:rsid w:val="005645D3"/>
    <w:rsid w:val="00567628"/>
    <w:rsid w:val="00572BB6"/>
    <w:rsid w:val="00572DD2"/>
    <w:rsid w:val="0058106B"/>
    <w:rsid w:val="00581F44"/>
    <w:rsid w:val="00585682"/>
    <w:rsid w:val="00590045"/>
    <w:rsid w:val="00591645"/>
    <w:rsid w:val="00593055"/>
    <w:rsid w:val="005934D3"/>
    <w:rsid w:val="0059415C"/>
    <w:rsid w:val="005A5E4E"/>
    <w:rsid w:val="005A67E6"/>
    <w:rsid w:val="005A6EEF"/>
    <w:rsid w:val="005B2228"/>
    <w:rsid w:val="005B3855"/>
    <w:rsid w:val="005B408B"/>
    <w:rsid w:val="005B550A"/>
    <w:rsid w:val="005B62FA"/>
    <w:rsid w:val="005B7C9C"/>
    <w:rsid w:val="005C46F4"/>
    <w:rsid w:val="005C6399"/>
    <w:rsid w:val="005C6EF4"/>
    <w:rsid w:val="005D4AAB"/>
    <w:rsid w:val="005D5322"/>
    <w:rsid w:val="005E033F"/>
    <w:rsid w:val="005E0826"/>
    <w:rsid w:val="005E33B8"/>
    <w:rsid w:val="005E40A3"/>
    <w:rsid w:val="005F05F4"/>
    <w:rsid w:val="005F1911"/>
    <w:rsid w:val="005F3013"/>
    <w:rsid w:val="005F5C7F"/>
    <w:rsid w:val="005F78E4"/>
    <w:rsid w:val="006001B2"/>
    <w:rsid w:val="00603BD4"/>
    <w:rsid w:val="0060500A"/>
    <w:rsid w:val="00605125"/>
    <w:rsid w:val="00607EBC"/>
    <w:rsid w:val="00610B23"/>
    <w:rsid w:val="0061518D"/>
    <w:rsid w:val="00625350"/>
    <w:rsid w:val="00625658"/>
    <w:rsid w:val="00632608"/>
    <w:rsid w:val="00633C6D"/>
    <w:rsid w:val="006341EC"/>
    <w:rsid w:val="0063539D"/>
    <w:rsid w:val="0064106C"/>
    <w:rsid w:val="00641A03"/>
    <w:rsid w:val="006462D3"/>
    <w:rsid w:val="00646EC1"/>
    <w:rsid w:val="00651764"/>
    <w:rsid w:val="00662506"/>
    <w:rsid w:val="0066330C"/>
    <w:rsid w:val="006642AC"/>
    <w:rsid w:val="0067343C"/>
    <w:rsid w:val="00674B82"/>
    <w:rsid w:val="00675762"/>
    <w:rsid w:val="00677D3B"/>
    <w:rsid w:val="006805E7"/>
    <w:rsid w:val="00685537"/>
    <w:rsid w:val="006871DA"/>
    <w:rsid w:val="0069237E"/>
    <w:rsid w:val="006923B1"/>
    <w:rsid w:val="00694DF0"/>
    <w:rsid w:val="006A3DD3"/>
    <w:rsid w:val="006A4DDE"/>
    <w:rsid w:val="006A665D"/>
    <w:rsid w:val="006B21C9"/>
    <w:rsid w:val="006C01E3"/>
    <w:rsid w:val="006C16C5"/>
    <w:rsid w:val="006C1748"/>
    <w:rsid w:val="006C3BC1"/>
    <w:rsid w:val="006D0688"/>
    <w:rsid w:val="006D24E8"/>
    <w:rsid w:val="006D2F3B"/>
    <w:rsid w:val="006D3A6B"/>
    <w:rsid w:val="006E0591"/>
    <w:rsid w:val="006E5C7C"/>
    <w:rsid w:val="006E784E"/>
    <w:rsid w:val="006F47F4"/>
    <w:rsid w:val="006F5930"/>
    <w:rsid w:val="006F63BA"/>
    <w:rsid w:val="006F74BB"/>
    <w:rsid w:val="00703525"/>
    <w:rsid w:val="00703BD7"/>
    <w:rsid w:val="007048BE"/>
    <w:rsid w:val="00711707"/>
    <w:rsid w:val="00711DD5"/>
    <w:rsid w:val="007133B5"/>
    <w:rsid w:val="0071593F"/>
    <w:rsid w:val="00717C29"/>
    <w:rsid w:val="007201E7"/>
    <w:rsid w:val="007208B5"/>
    <w:rsid w:val="00723275"/>
    <w:rsid w:val="00724A52"/>
    <w:rsid w:val="00724DA3"/>
    <w:rsid w:val="0072539B"/>
    <w:rsid w:val="007329B0"/>
    <w:rsid w:val="0073476E"/>
    <w:rsid w:val="00735434"/>
    <w:rsid w:val="007379E4"/>
    <w:rsid w:val="007400D7"/>
    <w:rsid w:val="00741629"/>
    <w:rsid w:val="0074344E"/>
    <w:rsid w:val="0074703F"/>
    <w:rsid w:val="007478F7"/>
    <w:rsid w:val="0075309C"/>
    <w:rsid w:val="00754037"/>
    <w:rsid w:val="007541A4"/>
    <w:rsid w:val="00760104"/>
    <w:rsid w:val="00761533"/>
    <w:rsid w:val="00765D50"/>
    <w:rsid w:val="00771502"/>
    <w:rsid w:val="0077159F"/>
    <w:rsid w:val="00772DF9"/>
    <w:rsid w:val="00774099"/>
    <w:rsid w:val="007749B2"/>
    <w:rsid w:val="00775866"/>
    <w:rsid w:val="0077607C"/>
    <w:rsid w:val="00777D7B"/>
    <w:rsid w:val="00784653"/>
    <w:rsid w:val="00795C71"/>
    <w:rsid w:val="007A3C41"/>
    <w:rsid w:val="007A49F8"/>
    <w:rsid w:val="007A7419"/>
    <w:rsid w:val="007A776E"/>
    <w:rsid w:val="007B0ED5"/>
    <w:rsid w:val="007B10FF"/>
    <w:rsid w:val="007B2658"/>
    <w:rsid w:val="007B3C86"/>
    <w:rsid w:val="007B494A"/>
    <w:rsid w:val="007B7BB1"/>
    <w:rsid w:val="007C25D9"/>
    <w:rsid w:val="007C3C95"/>
    <w:rsid w:val="007C66EA"/>
    <w:rsid w:val="007C77F0"/>
    <w:rsid w:val="007D00AD"/>
    <w:rsid w:val="007D4841"/>
    <w:rsid w:val="007D4932"/>
    <w:rsid w:val="007D4E38"/>
    <w:rsid w:val="007D5801"/>
    <w:rsid w:val="007E6DEB"/>
    <w:rsid w:val="007E70C2"/>
    <w:rsid w:val="007E7DC7"/>
    <w:rsid w:val="007E7FAE"/>
    <w:rsid w:val="007F5DD8"/>
    <w:rsid w:val="007F6C0F"/>
    <w:rsid w:val="007F6E31"/>
    <w:rsid w:val="008029B7"/>
    <w:rsid w:val="0080443C"/>
    <w:rsid w:val="008068EC"/>
    <w:rsid w:val="00810805"/>
    <w:rsid w:val="008118ED"/>
    <w:rsid w:val="00813DFB"/>
    <w:rsid w:val="00814491"/>
    <w:rsid w:val="008144F5"/>
    <w:rsid w:val="008151D6"/>
    <w:rsid w:val="00817F79"/>
    <w:rsid w:val="008225FD"/>
    <w:rsid w:val="00824F8B"/>
    <w:rsid w:val="008274AD"/>
    <w:rsid w:val="0083084F"/>
    <w:rsid w:val="008316DF"/>
    <w:rsid w:val="00831C3D"/>
    <w:rsid w:val="00832875"/>
    <w:rsid w:val="00834C97"/>
    <w:rsid w:val="00834EA2"/>
    <w:rsid w:val="0083727C"/>
    <w:rsid w:val="00837E08"/>
    <w:rsid w:val="00840871"/>
    <w:rsid w:val="008415F6"/>
    <w:rsid w:val="008517EE"/>
    <w:rsid w:val="00851B9E"/>
    <w:rsid w:val="00851F75"/>
    <w:rsid w:val="0085237A"/>
    <w:rsid w:val="008549CF"/>
    <w:rsid w:val="00857B2E"/>
    <w:rsid w:val="0087060B"/>
    <w:rsid w:val="00873A77"/>
    <w:rsid w:val="00873FFB"/>
    <w:rsid w:val="00882B61"/>
    <w:rsid w:val="008837C4"/>
    <w:rsid w:val="0089262A"/>
    <w:rsid w:val="00893F89"/>
    <w:rsid w:val="00894DD2"/>
    <w:rsid w:val="008A019F"/>
    <w:rsid w:val="008A03CC"/>
    <w:rsid w:val="008A2FB1"/>
    <w:rsid w:val="008A503E"/>
    <w:rsid w:val="008A569C"/>
    <w:rsid w:val="008A6A50"/>
    <w:rsid w:val="008B0F37"/>
    <w:rsid w:val="008B436F"/>
    <w:rsid w:val="008B47F9"/>
    <w:rsid w:val="008B6DD3"/>
    <w:rsid w:val="008C031C"/>
    <w:rsid w:val="008C033A"/>
    <w:rsid w:val="008C1247"/>
    <w:rsid w:val="008C2D0B"/>
    <w:rsid w:val="008C7129"/>
    <w:rsid w:val="008D0A80"/>
    <w:rsid w:val="008D3C64"/>
    <w:rsid w:val="008D43E0"/>
    <w:rsid w:val="008D5630"/>
    <w:rsid w:val="008D5BD4"/>
    <w:rsid w:val="008D5D2E"/>
    <w:rsid w:val="008D719C"/>
    <w:rsid w:val="008D71C3"/>
    <w:rsid w:val="008D758A"/>
    <w:rsid w:val="008E0660"/>
    <w:rsid w:val="008E1674"/>
    <w:rsid w:val="008E1F58"/>
    <w:rsid w:val="008E33D8"/>
    <w:rsid w:val="008E6272"/>
    <w:rsid w:val="008E683C"/>
    <w:rsid w:val="008F04FB"/>
    <w:rsid w:val="008F5BDC"/>
    <w:rsid w:val="009011AB"/>
    <w:rsid w:val="00901EEB"/>
    <w:rsid w:val="0090341C"/>
    <w:rsid w:val="009048CF"/>
    <w:rsid w:val="00913511"/>
    <w:rsid w:val="009156FB"/>
    <w:rsid w:val="00915795"/>
    <w:rsid w:val="00917A8B"/>
    <w:rsid w:val="00917C90"/>
    <w:rsid w:val="009205F6"/>
    <w:rsid w:val="009221BD"/>
    <w:rsid w:val="00931333"/>
    <w:rsid w:val="00933110"/>
    <w:rsid w:val="009331A8"/>
    <w:rsid w:val="009347B9"/>
    <w:rsid w:val="00936D17"/>
    <w:rsid w:val="00941E65"/>
    <w:rsid w:val="0094282A"/>
    <w:rsid w:val="00945B7D"/>
    <w:rsid w:val="00946B87"/>
    <w:rsid w:val="00947995"/>
    <w:rsid w:val="00951780"/>
    <w:rsid w:val="00951DB3"/>
    <w:rsid w:val="0096140F"/>
    <w:rsid w:val="00963BCE"/>
    <w:rsid w:val="00964924"/>
    <w:rsid w:val="00964B90"/>
    <w:rsid w:val="00965122"/>
    <w:rsid w:val="009662DD"/>
    <w:rsid w:val="0097614C"/>
    <w:rsid w:val="00977C26"/>
    <w:rsid w:val="009812BD"/>
    <w:rsid w:val="00981CD8"/>
    <w:rsid w:val="00983104"/>
    <w:rsid w:val="009853B5"/>
    <w:rsid w:val="00991737"/>
    <w:rsid w:val="00994827"/>
    <w:rsid w:val="009A143B"/>
    <w:rsid w:val="009A172E"/>
    <w:rsid w:val="009A17F7"/>
    <w:rsid w:val="009A3F98"/>
    <w:rsid w:val="009A4F4B"/>
    <w:rsid w:val="009B21B4"/>
    <w:rsid w:val="009B5720"/>
    <w:rsid w:val="009B762F"/>
    <w:rsid w:val="009C4B50"/>
    <w:rsid w:val="009C570B"/>
    <w:rsid w:val="009C58C6"/>
    <w:rsid w:val="009C5AC5"/>
    <w:rsid w:val="009D2ACF"/>
    <w:rsid w:val="009D2B5C"/>
    <w:rsid w:val="009D53B2"/>
    <w:rsid w:val="009D7BDA"/>
    <w:rsid w:val="009E156F"/>
    <w:rsid w:val="009E45C9"/>
    <w:rsid w:val="009E4BEC"/>
    <w:rsid w:val="009E7021"/>
    <w:rsid w:val="009E7F52"/>
    <w:rsid w:val="009F20E4"/>
    <w:rsid w:val="009F23C3"/>
    <w:rsid w:val="009F6787"/>
    <w:rsid w:val="00A017E9"/>
    <w:rsid w:val="00A03A44"/>
    <w:rsid w:val="00A058D1"/>
    <w:rsid w:val="00A063A8"/>
    <w:rsid w:val="00A11C14"/>
    <w:rsid w:val="00A12FAB"/>
    <w:rsid w:val="00A15F4F"/>
    <w:rsid w:val="00A16ACF"/>
    <w:rsid w:val="00A24B2F"/>
    <w:rsid w:val="00A30550"/>
    <w:rsid w:val="00A33D30"/>
    <w:rsid w:val="00A344A3"/>
    <w:rsid w:val="00A36C86"/>
    <w:rsid w:val="00A36FBD"/>
    <w:rsid w:val="00A37217"/>
    <w:rsid w:val="00A40918"/>
    <w:rsid w:val="00A40E1E"/>
    <w:rsid w:val="00A418E5"/>
    <w:rsid w:val="00A43552"/>
    <w:rsid w:val="00A478ED"/>
    <w:rsid w:val="00A50668"/>
    <w:rsid w:val="00A52C3A"/>
    <w:rsid w:val="00A56780"/>
    <w:rsid w:val="00A57CB2"/>
    <w:rsid w:val="00A6061F"/>
    <w:rsid w:val="00A633D6"/>
    <w:rsid w:val="00A67B39"/>
    <w:rsid w:val="00A72158"/>
    <w:rsid w:val="00A72C3F"/>
    <w:rsid w:val="00A734C7"/>
    <w:rsid w:val="00A74A09"/>
    <w:rsid w:val="00A74E35"/>
    <w:rsid w:val="00A83407"/>
    <w:rsid w:val="00A84FD6"/>
    <w:rsid w:val="00A86671"/>
    <w:rsid w:val="00A94ACB"/>
    <w:rsid w:val="00A94FA9"/>
    <w:rsid w:val="00A962F1"/>
    <w:rsid w:val="00A97437"/>
    <w:rsid w:val="00AA52FC"/>
    <w:rsid w:val="00AB0978"/>
    <w:rsid w:val="00AB15FA"/>
    <w:rsid w:val="00AB4DE6"/>
    <w:rsid w:val="00AC0C77"/>
    <w:rsid w:val="00AC1301"/>
    <w:rsid w:val="00AC2D3E"/>
    <w:rsid w:val="00AC63B0"/>
    <w:rsid w:val="00AD0CE1"/>
    <w:rsid w:val="00AD6421"/>
    <w:rsid w:val="00AD6B5A"/>
    <w:rsid w:val="00AE2129"/>
    <w:rsid w:val="00AE259D"/>
    <w:rsid w:val="00AE49F3"/>
    <w:rsid w:val="00AE4BC4"/>
    <w:rsid w:val="00AE6659"/>
    <w:rsid w:val="00AE7CCF"/>
    <w:rsid w:val="00AF148A"/>
    <w:rsid w:val="00AF20BB"/>
    <w:rsid w:val="00AF3AC2"/>
    <w:rsid w:val="00AF3FA8"/>
    <w:rsid w:val="00AF5A7A"/>
    <w:rsid w:val="00AF6A7A"/>
    <w:rsid w:val="00AF787C"/>
    <w:rsid w:val="00B00DF2"/>
    <w:rsid w:val="00B03A96"/>
    <w:rsid w:val="00B04519"/>
    <w:rsid w:val="00B049BB"/>
    <w:rsid w:val="00B0728D"/>
    <w:rsid w:val="00B14067"/>
    <w:rsid w:val="00B1724A"/>
    <w:rsid w:val="00B2011B"/>
    <w:rsid w:val="00B228A0"/>
    <w:rsid w:val="00B22F25"/>
    <w:rsid w:val="00B231D5"/>
    <w:rsid w:val="00B25E57"/>
    <w:rsid w:val="00B27932"/>
    <w:rsid w:val="00B3577E"/>
    <w:rsid w:val="00B3765D"/>
    <w:rsid w:val="00B40EDF"/>
    <w:rsid w:val="00B411E4"/>
    <w:rsid w:val="00B41AA9"/>
    <w:rsid w:val="00B514C3"/>
    <w:rsid w:val="00B5254B"/>
    <w:rsid w:val="00B54031"/>
    <w:rsid w:val="00B60F01"/>
    <w:rsid w:val="00B6545A"/>
    <w:rsid w:val="00B679AE"/>
    <w:rsid w:val="00B72EB5"/>
    <w:rsid w:val="00B730B1"/>
    <w:rsid w:val="00B75E34"/>
    <w:rsid w:val="00B75E95"/>
    <w:rsid w:val="00B77335"/>
    <w:rsid w:val="00B81EF7"/>
    <w:rsid w:val="00B8408A"/>
    <w:rsid w:val="00B85271"/>
    <w:rsid w:val="00B8746B"/>
    <w:rsid w:val="00B8796C"/>
    <w:rsid w:val="00B91138"/>
    <w:rsid w:val="00B911C3"/>
    <w:rsid w:val="00B92DDD"/>
    <w:rsid w:val="00B9325C"/>
    <w:rsid w:val="00B93B84"/>
    <w:rsid w:val="00B94529"/>
    <w:rsid w:val="00B9603A"/>
    <w:rsid w:val="00BA16A3"/>
    <w:rsid w:val="00BA3FA8"/>
    <w:rsid w:val="00BA5720"/>
    <w:rsid w:val="00BB1028"/>
    <w:rsid w:val="00BB18AD"/>
    <w:rsid w:val="00BB239D"/>
    <w:rsid w:val="00BB49B7"/>
    <w:rsid w:val="00BB59D9"/>
    <w:rsid w:val="00BB7FAF"/>
    <w:rsid w:val="00BC2143"/>
    <w:rsid w:val="00BC441B"/>
    <w:rsid w:val="00BC63A0"/>
    <w:rsid w:val="00BD021A"/>
    <w:rsid w:val="00BD2CD7"/>
    <w:rsid w:val="00BD321B"/>
    <w:rsid w:val="00BD53D3"/>
    <w:rsid w:val="00BD5733"/>
    <w:rsid w:val="00BD751B"/>
    <w:rsid w:val="00BD7A64"/>
    <w:rsid w:val="00BD7C2E"/>
    <w:rsid w:val="00BE0888"/>
    <w:rsid w:val="00BE2521"/>
    <w:rsid w:val="00BE4396"/>
    <w:rsid w:val="00BE5808"/>
    <w:rsid w:val="00BE6037"/>
    <w:rsid w:val="00BE7412"/>
    <w:rsid w:val="00BF0480"/>
    <w:rsid w:val="00BF1ABE"/>
    <w:rsid w:val="00BF77E0"/>
    <w:rsid w:val="00BF7A59"/>
    <w:rsid w:val="00C018C0"/>
    <w:rsid w:val="00C04258"/>
    <w:rsid w:val="00C0640C"/>
    <w:rsid w:val="00C10304"/>
    <w:rsid w:val="00C169FD"/>
    <w:rsid w:val="00C20A66"/>
    <w:rsid w:val="00C237D2"/>
    <w:rsid w:val="00C27A0B"/>
    <w:rsid w:val="00C31BA9"/>
    <w:rsid w:val="00C34462"/>
    <w:rsid w:val="00C358C1"/>
    <w:rsid w:val="00C3663F"/>
    <w:rsid w:val="00C36C99"/>
    <w:rsid w:val="00C41225"/>
    <w:rsid w:val="00C4434F"/>
    <w:rsid w:val="00C449F3"/>
    <w:rsid w:val="00C47238"/>
    <w:rsid w:val="00C5048A"/>
    <w:rsid w:val="00C535EF"/>
    <w:rsid w:val="00C55437"/>
    <w:rsid w:val="00C60332"/>
    <w:rsid w:val="00C62BB4"/>
    <w:rsid w:val="00C63CB1"/>
    <w:rsid w:val="00C678D8"/>
    <w:rsid w:val="00C70042"/>
    <w:rsid w:val="00C709D7"/>
    <w:rsid w:val="00C73506"/>
    <w:rsid w:val="00C7428E"/>
    <w:rsid w:val="00C746F8"/>
    <w:rsid w:val="00C75614"/>
    <w:rsid w:val="00C83BE8"/>
    <w:rsid w:val="00C864FF"/>
    <w:rsid w:val="00C86B00"/>
    <w:rsid w:val="00C87DC6"/>
    <w:rsid w:val="00C908F0"/>
    <w:rsid w:val="00C919E8"/>
    <w:rsid w:val="00C94649"/>
    <w:rsid w:val="00CA17E6"/>
    <w:rsid w:val="00CA7049"/>
    <w:rsid w:val="00CB00A9"/>
    <w:rsid w:val="00CB0848"/>
    <w:rsid w:val="00CB16D2"/>
    <w:rsid w:val="00CB5A88"/>
    <w:rsid w:val="00CC2C64"/>
    <w:rsid w:val="00CC796F"/>
    <w:rsid w:val="00CD0869"/>
    <w:rsid w:val="00CD1B2B"/>
    <w:rsid w:val="00CD4B56"/>
    <w:rsid w:val="00CD546E"/>
    <w:rsid w:val="00CD7050"/>
    <w:rsid w:val="00CD7EBC"/>
    <w:rsid w:val="00CE1479"/>
    <w:rsid w:val="00CE2937"/>
    <w:rsid w:val="00CE3C66"/>
    <w:rsid w:val="00CF0591"/>
    <w:rsid w:val="00CF3500"/>
    <w:rsid w:val="00CF473C"/>
    <w:rsid w:val="00D01914"/>
    <w:rsid w:val="00D1084E"/>
    <w:rsid w:val="00D11788"/>
    <w:rsid w:val="00D12FA2"/>
    <w:rsid w:val="00D13C12"/>
    <w:rsid w:val="00D147BD"/>
    <w:rsid w:val="00D147E2"/>
    <w:rsid w:val="00D14AA2"/>
    <w:rsid w:val="00D21AFB"/>
    <w:rsid w:val="00D300E5"/>
    <w:rsid w:val="00D32B82"/>
    <w:rsid w:val="00D32EFF"/>
    <w:rsid w:val="00D33D95"/>
    <w:rsid w:val="00D4045F"/>
    <w:rsid w:val="00D40BC8"/>
    <w:rsid w:val="00D47C84"/>
    <w:rsid w:val="00D62E0E"/>
    <w:rsid w:val="00D6545A"/>
    <w:rsid w:val="00D678BC"/>
    <w:rsid w:val="00D705B0"/>
    <w:rsid w:val="00D71373"/>
    <w:rsid w:val="00D766C3"/>
    <w:rsid w:val="00D82456"/>
    <w:rsid w:val="00D82C5C"/>
    <w:rsid w:val="00D850EE"/>
    <w:rsid w:val="00D854C1"/>
    <w:rsid w:val="00D87A10"/>
    <w:rsid w:val="00DA03CF"/>
    <w:rsid w:val="00DA08C2"/>
    <w:rsid w:val="00DA339A"/>
    <w:rsid w:val="00DA5AA5"/>
    <w:rsid w:val="00DA5AB7"/>
    <w:rsid w:val="00DA63F0"/>
    <w:rsid w:val="00DC0FA5"/>
    <w:rsid w:val="00DC116B"/>
    <w:rsid w:val="00DC2748"/>
    <w:rsid w:val="00DD1BA8"/>
    <w:rsid w:val="00DD685F"/>
    <w:rsid w:val="00DE0F51"/>
    <w:rsid w:val="00DE15DD"/>
    <w:rsid w:val="00DE235F"/>
    <w:rsid w:val="00DE3C1C"/>
    <w:rsid w:val="00DE5B64"/>
    <w:rsid w:val="00DF27F9"/>
    <w:rsid w:val="00E028A3"/>
    <w:rsid w:val="00E05641"/>
    <w:rsid w:val="00E12B15"/>
    <w:rsid w:val="00E14E96"/>
    <w:rsid w:val="00E15DD0"/>
    <w:rsid w:val="00E1644A"/>
    <w:rsid w:val="00E17918"/>
    <w:rsid w:val="00E17E17"/>
    <w:rsid w:val="00E22DFF"/>
    <w:rsid w:val="00E2521A"/>
    <w:rsid w:val="00E25D91"/>
    <w:rsid w:val="00E31727"/>
    <w:rsid w:val="00E44B30"/>
    <w:rsid w:val="00E47B2A"/>
    <w:rsid w:val="00E55F32"/>
    <w:rsid w:val="00E56A55"/>
    <w:rsid w:val="00E61804"/>
    <w:rsid w:val="00E625DE"/>
    <w:rsid w:val="00E62816"/>
    <w:rsid w:val="00E631D8"/>
    <w:rsid w:val="00E634EB"/>
    <w:rsid w:val="00E64915"/>
    <w:rsid w:val="00E77A30"/>
    <w:rsid w:val="00E77E8D"/>
    <w:rsid w:val="00E80670"/>
    <w:rsid w:val="00E83510"/>
    <w:rsid w:val="00E84E58"/>
    <w:rsid w:val="00E86E87"/>
    <w:rsid w:val="00E87595"/>
    <w:rsid w:val="00E8795F"/>
    <w:rsid w:val="00E90895"/>
    <w:rsid w:val="00E9592B"/>
    <w:rsid w:val="00E95C1A"/>
    <w:rsid w:val="00E970C0"/>
    <w:rsid w:val="00EB04A2"/>
    <w:rsid w:val="00EB0ECB"/>
    <w:rsid w:val="00EC2A86"/>
    <w:rsid w:val="00EC5423"/>
    <w:rsid w:val="00ED4F0A"/>
    <w:rsid w:val="00ED55FC"/>
    <w:rsid w:val="00ED6CA2"/>
    <w:rsid w:val="00EE27CD"/>
    <w:rsid w:val="00EE4BB0"/>
    <w:rsid w:val="00EE53D3"/>
    <w:rsid w:val="00EE68F3"/>
    <w:rsid w:val="00EF2BDC"/>
    <w:rsid w:val="00F01F43"/>
    <w:rsid w:val="00F0334B"/>
    <w:rsid w:val="00F07BA6"/>
    <w:rsid w:val="00F11178"/>
    <w:rsid w:val="00F14F70"/>
    <w:rsid w:val="00F17C8B"/>
    <w:rsid w:val="00F2123C"/>
    <w:rsid w:val="00F21943"/>
    <w:rsid w:val="00F21959"/>
    <w:rsid w:val="00F30CB4"/>
    <w:rsid w:val="00F3162E"/>
    <w:rsid w:val="00F318A8"/>
    <w:rsid w:val="00F3411E"/>
    <w:rsid w:val="00F365F4"/>
    <w:rsid w:val="00F408D9"/>
    <w:rsid w:val="00F50811"/>
    <w:rsid w:val="00F52D50"/>
    <w:rsid w:val="00F534DC"/>
    <w:rsid w:val="00F54D33"/>
    <w:rsid w:val="00F554B4"/>
    <w:rsid w:val="00F56DF1"/>
    <w:rsid w:val="00F60179"/>
    <w:rsid w:val="00F61D8E"/>
    <w:rsid w:val="00F62D0E"/>
    <w:rsid w:val="00F62E0E"/>
    <w:rsid w:val="00F6389C"/>
    <w:rsid w:val="00F63C28"/>
    <w:rsid w:val="00F643D2"/>
    <w:rsid w:val="00F645DE"/>
    <w:rsid w:val="00F669A2"/>
    <w:rsid w:val="00F678AC"/>
    <w:rsid w:val="00F70C49"/>
    <w:rsid w:val="00F72E05"/>
    <w:rsid w:val="00F7401B"/>
    <w:rsid w:val="00F764B2"/>
    <w:rsid w:val="00F7740C"/>
    <w:rsid w:val="00F77B0A"/>
    <w:rsid w:val="00F83464"/>
    <w:rsid w:val="00F84243"/>
    <w:rsid w:val="00F86872"/>
    <w:rsid w:val="00F86CE8"/>
    <w:rsid w:val="00F92161"/>
    <w:rsid w:val="00F94BFF"/>
    <w:rsid w:val="00F971E3"/>
    <w:rsid w:val="00F977F5"/>
    <w:rsid w:val="00FA1C3A"/>
    <w:rsid w:val="00FA2FA0"/>
    <w:rsid w:val="00FA35F7"/>
    <w:rsid w:val="00FA5C13"/>
    <w:rsid w:val="00FA73D7"/>
    <w:rsid w:val="00FA7495"/>
    <w:rsid w:val="00FB0E66"/>
    <w:rsid w:val="00FB2A55"/>
    <w:rsid w:val="00FB387D"/>
    <w:rsid w:val="00FB43DD"/>
    <w:rsid w:val="00FB46CA"/>
    <w:rsid w:val="00FB5EE8"/>
    <w:rsid w:val="00FB6B6C"/>
    <w:rsid w:val="00FB7F38"/>
    <w:rsid w:val="00FC0B95"/>
    <w:rsid w:val="00FC13D7"/>
    <w:rsid w:val="00FC2C94"/>
    <w:rsid w:val="00FC3ABE"/>
    <w:rsid w:val="00FC56E6"/>
    <w:rsid w:val="00FC7138"/>
    <w:rsid w:val="00FD24AC"/>
    <w:rsid w:val="00FD7D7A"/>
    <w:rsid w:val="00FE2288"/>
    <w:rsid w:val="00FE5CFD"/>
    <w:rsid w:val="00FF0B16"/>
    <w:rsid w:val="00FF268D"/>
    <w:rsid w:val="00FF3731"/>
    <w:rsid w:val="00FF3EF5"/>
    <w:rsid w:val="00FF417A"/>
    <w:rsid w:val="00FF56D1"/>
    <w:rsid w:val="00FF697C"/>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CF868"/>
  <w15:chartTrackingRefBased/>
  <w15:docId w15:val="{A7E8926A-49FE-4654-860D-EE0AAC38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BE"/>
    <w:pPr>
      <w:spacing w:before="120" w:after="120" w:line="300" w:lineRule="auto"/>
      <w:jc w:val="both"/>
    </w:pPr>
    <w:rPr>
      <w:rFonts w:ascii="Arial" w:eastAsiaTheme="minorEastAsia" w:hAnsi="Arial"/>
      <w:sz w:val="20"/>
      <w:szCs w:val="24"/>
    </w:rPr>
  </w:style>
  <w:style w:type="paragraph" w:styleId="Heading1">
    <w:name w:val="heading 1"/>
    <w:basedOn w:val="Normal"/>
    <w:next w:val="Normal"/>
    <w:link w:val="Heading1Char"/>
    <w:uiPriority w:val="9"/>
    <w:qFormat/>
    <w:rsid w:val="00A11C14"/>
    <w:pPr>
      <w:keepNext/>
      <w:keepLines/>
      <w:numPr>
        <w:numId w:val="2"/>
      </w:numPr>
      <w:spacing w:before="240" w:line="360" w:lineRule="auto"/>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048BE"/>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048BE"/>
    <w:pPr>
      <w:keepNext/>
      <w:keepLines/>
      <w:spacing w:before="40"/>
      <w:outlineLvl w:val="2"/>
    </w:pPr>
    <w:rPr>
      <w:rFonts w:eastAsiaTheme="majorEastAsia" w:cstheme="majorBidi"/>
      <w:i/>
      <w:color w:val="1F4E79"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75E95"/>
    <w:pPr>
      <w:spacing w:before="0" w:after="240"/>
    </w:pPr>
    <w:rPr>
      <w:rFonts w:eastAsia="Arial" w:cs="Arial"/>
      <w:b/>
      <w:spacing w:val="-10"/>
      <w:kern w:val="28"/>
      <w:sz w:val="40"/>
      <w:szCs w:val="40"/>
    </w:rPr>
  </w:style>
  <w:style w:type="character" w:customStyle="1" w:styleId="TitleChar">
    <w:name w:val="Title Char"/>
    <w:basedOn w:val="DefaultParagraphFont"/>
    <w:link w:val="Title"/>
    <w:uiPriority w:val="10"/>
    <w:rsid w:val="00B75E95"/>
    <w:rPr>
      <w:rFonts w:ascii="Arial" w:eastAsia="Arial" w:hAnsi="Arial" w:cs="Arial"/>
      <w:b/>
      <w:spacing w:val="-10"/>
      <w:kern w:val="28"/>
      <w:sz w:val="40"/>
      <w:szCs w:val="40"/>
    </w:rPr>
  </w:style>
  <w:style w:type="character" w:customStyle="1" w:styleId="Heading1Char">
    <w:name w:val="Heading 1 Char"/>
    <w:basedOn w:val="DefaultParagraphFont"/>
    <w:link w:val="Heading1"/>
    <w:uiPriority w:val="9"/>
    <w:rsid w:val="00A11C14"/>
    <w:rPr>
      <w:rFonts w:ascii="Arial" w:eastAsiaTheme="majorEastAsia" w:hAnsi="Arial" w:cstheme="majorBidi"/>
      <w:b/>
      <w:sz w:val="28"/>
      <w:szCs w:val="32"/>
    </w:rPr>
  </w:style>
  <w:style w:type="character" w:styleId="Hyperlink">
    <w:name w:val="Hyperlink"/>
    <w:basedOn w:val="DefaultParagraphFont"/>
    <w:uiPriority w:val="99"/>
    <w:unhideWhenUsed/>
    <w:rsid w:val="007048BE"/>
    <w:rPr>
      <w:color w:val="0563C1" w:themeColor="hyperlink"/>
      <w:u w:val="single"/>
    </w:rPr>
  </w:style>
  <w:style w:type="paragraph" w:styleId="BalloonText">
    <w:name w:val="Balloon Text"/>
    <w:basedOn w:val="Normal"/>
    <w:link w:val="BalloonTextChar"/>
    <w:uiPriority w:val="99"/>
    <w:semiHidden/>
    <w:unhideWhenUsed/>
    <w:rsid w:val="0070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B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7048B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048BE"/>
    <w:rPr>
      <w:rFonts w:ascii="Arial" w:eastAsiaTheme="majorEastAsia" w:hAnsi="Arial" w:cstheme="majorBidi"/>
      <w:i/>
      <w:color w:val="1F4E79" w:themeColor="accent1" w:themeShade="80"/>
      <w:sz w:val="24"/>
      <w:szCs w:val="24"/>
    </w:rPr>
  </w:style>
  <w:style w:type="paragraph" w:styleId="Header">
    <w:name w:val="header"/>
    <w:basedOn w:val="Normal"/>
    <w:link w:val="HeaderChar"/>
    <w:uiPriority w:val="99"/>
    <w:unhideWhenUsed/>
    <w:rsid w:val="007048BE"/>
    <w:pPr>
      <w:tabs>
        <w:tab w:val="center" w:pos="4680"/>
        <w:tab w:val="right" w:pos="9360"/>
      </w:tabs>
    </w:pPr>
  </w:style>
  <w:style w:type="character" w:customStyle="1" w:styleId="HeaderChar">
    <w:name w:val="Header Char"/>
    <w:basedOn w:val="DefaultParagraphFont"/>
    <w:link w:val="Header"/>
    <w:uiPriority w:val="99"/>
    <w:rsid w:val="007048BE"/>
    <w:rPr>
      <w:rFonts w:ascii="Arial" w:eastAsiaTheme="minorEastAsia" w:hAnsi="Arial"/>
      <w:sz w:val="20"/>
      <w:szCs w:val="24"/>
    </w:rPr>
  </w:style>
  <w:style w:type="paragraph" w:styleId="Footer">
    <w:name w:val="footer"/>
    <w:basedOn w:val="Normal"/>
    <w:link w:val="FooterChar"/>
    <w:uiPriority w:val="99"/>
    <w:unhideWhenUsed/>
    <w:rsid w:val="007048BE"/>
    <w:pPr>
      <w:tabs>
        <w:tab w:val="center" w:pos="4680"/>
        <w:tab w:val="right" w:pos="9360"/>
      </w:tabs>
    </w:pPr>
  </w:style>
  <w:style w:type="character" w:customStyle="1" w:styleId="FooterChar">
    <w:name w:val="Footer Char"/>
    <w:basedOn w:val="DefaultParagraphFont"/>
    <w:link w:val="Footer"/>
    <w:uiPriority w:val="99"/>
    <w:rsid w:val="007048BE"/>
    <w:rPr>
      <w:rFonts w:ascii="Arial" w:eastAsiaTheme="minorEastAsia" w:hAnsi="Arial"/>
      <w:sz w:val="20"/>
      <w:szCs w:val="24"/>
    </w:rPr>
  </w:style>
  <w:style w:type="paragraph" w:styleId="ListParagraph">
    <w:name w:val="List Paragraph"/>
    <w:aliases w:val="Body text,Bullet List,FooterText,List Paragraph1,Colorful List Accent 1,Colorful List - Accent 11,Premier,Paragraphe de liste1,List Paragraph-ExecSummary,List Paragraph (numbered (a)),Numbered List Paragraph,References,WB List Paragraph"/>
    <w:basedOn w:val="Normal"/>
    <w:link w:val="ListParagraphChar"/>
    <w:uiPriority w:val="34"/>
    <w:qFormat/>
    <w:rsid w:val="007048BE"/>
    <w:pPr>
      <w:ind w:left="720"/>
      <w:contextualSpacing/>
    </w:pPr>
  </w:style>
  <w:style w:type="paragraph" w:styleId="Subtitle">
    <w:name w:val="Subtitle"/>
    <w:basedOn w:val="Normal"/>
    <w:next w:val="Normal"/>
    <w:link w:val="SubtitleChar"/>
    <w:uiPriority w:val="11"/>
    <w:qFormat/>
    <w:rsid w:val="00A72C3F"/>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72C3F"/>
    <w:rPr>
      <w:rFonts w:eastAsiaTheme="minorEastAsia"/>
      <w:color w:val="5A5A5A" w:themeColor="text1" w:themeTint="A5"/>
      <w:spacing w:val="15"/>
    </w:rPr>
  </w:style>
  <w:style w:type="paragraph" w:styleId="TOCHeading">
    <w:name w:val="TOC Heading"/>
    <w:basedOn w:val="Heading1"/>
    <w:next w:val="Normal"/>
    <w:uiPriority w:val="39"/>
    <w:unhideWhenUsed/>
    <w:qFormat/>
    <w:rsid w:val="00A72C3F"/>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B49B7"/>
    <w:pPr>
      <w:tabs>
        <w:tab w:val="left" w:pos="400"/>
        <w:tab w:val="right" w:leader="dot" w:pos="8790"/>
      </w:tabs>
      <w:spacing w:after="100"/>
    </w:pPr>
  </w:style>
  <w:style w:type="paragraph" w:styleId="TOC2">
    <w:name w:val="toc 2"/>
    <w:basedOn w:val="Normal"/>
    <w:next w:val="Normal"/>
    <w:autoRedefine/>
    <w:uiPriority w:val="39"/>
    <w:unhideWhenUsed/>
    <w:rsid w:val="00450D65"/>
    <w:pPr>
      <w:tabs>
        <w:tab w:val="right" w:leader="dot" w:pos="8790"/>
      </w:tabs>
      <w:spacing w:after="100"/>
      <w:ind w:left="200"/>
    </w:pPr>
  </w:style>
  <w:style w:type="paragraph" w:styleId="TOC3">
    <w:name w:val="toc 3"/>
    <w:basedOn w:val="Normal"/>
    <w:next w:val="Normal"/>
    <w:autoRedefine/>
    <w:uiPriority w:val="39"/>
    <w:unhideWhenUsed/>
    <w:rsid w:val="00A72C3F"/>
    <w:pPr>
      <w:spacing w:after="100"/>
      <w:ind w:left="400"/>
    </w:p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eastAsiaTheme="minorEastAsia" w:hAnsi="Arial"/>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91737"/>
    <w:rPr>
      <w:color w:val="954F72" w:themeColor="followedHyperlink"/>
      <w:u w:val="single"/>
    </w:rPr>
  </w:style>
  <w:style w:type="table" w:customStyle="1" w:styleId="4">
    <w:name w:val="4"/>
    <w:basedOn w:val="TableNormal"/>
    <w:rsid w:val="00A16ACF"/>
    <w:pPr>
      <w:spacing w:before="120" w:after="120" w:line="360" w:lineRule="auto"/>
      <w:jc w:val="both"/>
    </w:pPr>
    <w:rPr>
      <w:rFonts w:ascii="Times New Roman" w:eastAsia="Times New Roman" w:hAnsi="Times New Roman" w:cs="Times New Roman"/>
      <w:sz w:val="24"/>
      <w:szCs w:val="24"/>
      <w:lang w:val="en-GB"/>
    </w:rPr>
    <w:tblPr>
      <w:tblStyleRowBandSize w:val="1"/>
      <w:tblStyleColBandSize w:val="1"/>
    </w:tblPr>
  </w:style>
  <w:style w:type="table" w:customStyle="1" w:styleId="3">
    <w:name w:val="3"/>
    <w:basedOn w:val="TableNormal"/>
    <w:rsid w:val="00A16ACF"/>
    <w:pPr>
      <w:spacing w:before="120" w:after="120" w:line="360" w:lineRule="auto"/>
      <w:jc w:val="both"/>
    </w:pPr>
    <w:rPr>
      <w:rFonts w:ascii="Times New Roman" w:eastAsia="Times New Roman" w:hAnsi="Times New Roman" w:cs="Times New Roman"/>
      <w:sz w:val="24"/>
      <w:szCs w:val="24"/>
      <w:lang w:val="en-GB"/>
    </w:r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A16ACF"/>
    <w:rPr>
      <w:b/>
      <w:bCs/>
    </w:rPr>
  </w:style>
  <w:style w:type="character" w:customStyle="1" w:styleId="CommentSubjectChar">
    <w:name w:val="Comment Subject Char"/>
    <w:basedOn w:val="CommentTextChar"/>
    <w:link w:val="CommentSubject"/>
    <w:uiPriority w:val="99"/>
    <w:semiHidden/>
    <w:rsid w:val="00A16ACF"/>
    <w:rPr>
      <w:rFonts w:ascii="Arial" w:eastAsiaTheme="minorEastAsia" w:hAnsi="Arial"/>
      <w:b/>
      <w:bCs/>
      <w:sz w:val="20"/>
      <w:szCs w:val="20"/>
    </w:rPr>
  </w:style>
  <w:style w:type="paragraph" w:styleId="Revision">
    <w:name w:val="Revision"/>
    <w:hidden/>
    <w:uiPriority w:val="99"/>
    <w:semiHidden/>
    <w:rsid w:val="00A16ACF"/>
    <w:pPr>
      <w:spacing w:after="0" w:line="240" w:lineRule="auto"/>
    </w:pPr>
    <w:rPr>
      <w:rFonts w:ascii="Arial" w:eastAsiaTheme="minorEastAsia" w:hAnsi="Arial"/>
      <w:sz w:val="20"/>
      <w:szCs w:val="24"/>
    </w:rPr>
  </w:style>
  <w:style w:type="paragraph" w:styleId="FootnoteText">
    <w:name w:val="footnote text"/>
    <w:aliases w:val="DSE note,DSE note1,DSE note2,DSE note3,DSE note4,DSE note5,DSE note6,DSE note7,DSE note8,DSE note9,DSE note10,DSE note11,DSE note21,DSE note31,DSE note41,DSE note51,DSE note61,DSE note71,DSE note81,DSE note91,DSE note101,DSE note12,ft,fn,f"/>
    <w:basedOn w:val="Normal"/>
    <w:link w:val="FootnoteTextChar"/>
    <w:uiPriority w:val="99"/>
    <w:unhideWhenUsed/>
    <w:qFormat/>
    <w:rsid w:val="00C20A66"/>
    <w:pPr>
      <w:spacing w:line="360" w:lineRule="auto"/>
    </w:pPr>
    <w:rPr>
      <w:rFonts w:ascii="Times New Roman" w:eastAsia="Times New Roman" w:hAnsi="Times New Roman" w:cs="Times New Roman"/>
      <w:sz w:val="24"/>
      <w:lang w:val="en-GB"/>
    </w:rPr>
  </w:style>
  <w:style w:type="character" w:customStyle="1" w:styleId="FootnoteTextChar">
    <w:name w:val="Footnote Text Char"/>
    <w:aliases w:val="DSE note Char,DSE note1 Char,DSE note2 Char,DSE note3 Char,DSE note4 Char,DSE note5 Char,DSE note6 Char,DSE note7 Char,DSE note8 Char,DSE note9 Char,DSE note10 Char,DSE note11 Char,DSE note21 Char,DSE note31 Char,DSE note41 Char"/>
    <w:basedOn w:val="DefaultParagraphFont"/>
    <w:link w:val="FootnoteText"/>
    <w:uiPriority w:val="99"/>
    <w:rsid w:val="00C20A66"/>
    <w:rPr>
      <w:rFonts w:ascii="Times New Roman" w:eastAsia="Times New Roman" w:hAnsi="Times New Roman" w:cs="Times New Roman"/>
      <w:sz w:val="24"/>
      <w:szCs w:val="24"/>
      <w:lang w:val="en-GB"/>
    </w:rPr>
  </w:style>
  <w:style w:type="character" w:styleId="FootnoteReference">
    <w:name w:val="footnote reference"/>
    <w:aliases w:val="Footnote reference Char,ftref,heading1,16 Point Char Char Char,Superscript 6 Point Char Char Char,ftref Char Char Char1,BVI fnr Char Char Char Char Char Char Char Char Char Char Char Char Char Char Char Char Char Char1 Char Char Char"/>
    <w:basedOn w:val="DefaultParagraphFont"/>
    <w:link w:val="FootnoteReference1"/>
    <w:uiPriority w:val="99"/>
    <w:unhideWhenUsed/>
    <w:qFormat/>
    <w:rsid w:val="00C20A66"/>
    <w:rPr>
      <w:vertAlign w:val="superscript"/>
    </w:rPr>
  </w:style>
  <w:style w:type="paragraph" w:customStyle="1" w:styleId="FootnoteReference1">
    <w:name w:val="Footnote Reference1"/>
    <w:basedOn w:val="Normal"/>
    <w:link w:val="FootnoteReference"/>
    <w:uiPriority w:val="99"/>
    <w:rsid w:val="00C20A66"/>
    <w:pPr>
      <w:spacing w:after="60" w:line="240" w:lineRule="auto"/>
    </w:pPr>
    <w:rPr>
      <w:rFonts w:asciiTheme="minorHAnsi" w:eastAsiaTheme="minorHAnsi" w:hAnsiTheme="minorHAnsi"/>
      <w:sz w:val="22"/>
      <w:szCs w:val="22"/>
      <w:vertAlign w:val="superscript"/>
    </w:rPr>
  </w:style>
  <w:style w:type="table" w:customStyle="1" w:styleId="1">
    <w:name w:val="1"/>
    <w:basedOn w:val="TableNormal"/>
    <w:rsid w:val="0045347F"/>
    <w:pPr>
      <w:spacing w:before="120" w:after="120" w:line="360" w:lineRule="auto"/>
      <w:jc w:val="both"/>
    </w:pPr>
    <w:rPr>
      <w:rFonts w:ascii="Times New Roman" w:eastAsia="Times New Roman" w:hAnsi="Times New Roman" w:cs="Times New Roman"/>
      <w:sz w:val="24"/>
      <w:szCs w:val="24"/>
      <w:lang w:val="en-GB"/>
    </w:rPr>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AE7CCF"/>
    <w:pPr>
      <w:spacing w:line="240" w:lineRule="auto"/>
      <w:jc w:val="left"/>
    </w:pPr>
    <w:rPr>
      <w:b/>
      <w:bCs/>
      <w:szCs w:val="20"/>
    </w:rPr>
  </w:style>
  <w:style w:type="table" w:customStyle="1" w:styleId="6">
    <w:name w:val="6"/>
    <w:basedOn w:val="TableNormal"/>
    <w:rsid w:val="00E90895"/>
    <w:pPr>
      <w:spacing w:before="120" w:after="120" w:line="360" w:lineRule="auto"/>
      <w:jc w:val="both"/>
    </w:pPr>
    <w:rPr>
      <w:rFonts w:ascii="Times New Roman" w:eastAsia="Times New Roman" w:hAnsi="Times New Roman" w:cs="Times New Roman"/>
      <w:sz w:val="24"/>
      <w:szCs w:val="24"/>
      <w:lang w:val="en-GB"/>
    </w:rPr>
    <w:tblPr>
      <w:tblStyleRowBandSize w:val="1"/>
      <w:tblStyleColBandSize w:val="1"/>
      <w:tblCellMar>
        <w:left w:w="115" w:type="dxa"/>
        <w:right w:w="115" w:type="dxa"/>
      </w:tblCellMar>
    </w:tblPr>
  </w:style>
  <w:style w:type="table" w:customStyle="1" w:styleId="5">
    <w:name w:val="5"/>
    <w:basedOn w:val="TableNormal"/>
    <w:rsid w:val="00E90895"/>
    <w:pPr>
      <w:spacing w:before="120" w:after="120" w:line="360" w:lineRule="auto"/>
      <w:jc w:val="both"/>
    </w:pPr>
    <w:rPr>
      <w:rFonts w:ascii="Times New Roman" w:eastAsia="Times New Roman" w:hAnsi="Times New Roman" w:cs="Times New Roman"/>
      <w:sz w:val="24"/>
      <w:szCs w:val="24"/>
      <w:lang w:val="en-GB"/>
    </w:rPr>
    <w:tblPr>
      <w:tblStyleRowBandSize w:val="1"/>
      <w:tblStyleColBandSize w:val="1"/>
      <w:tblCellMar>
        <w:left w:w="115" w:type="dxa"/>
        <w:right w:w="115" w:type="dxa"/>
      </w:tblCellMar>
    </w:tblPr>
  </w:style>
  <w:style w:type="character" w:styleId="PageNumber">
    <w:name w:val="page number"/>
    <w:basedOn w:val="DefaultParagraphFont"/>
    <w:uiPriority w:val="99"/>
    <w:semiHidden/>
    <w:unhideWhenUsed/>
    <w:rsid w:val="00E90895"/>
  </w:style>
  <w:style w:type="character" w:customStyle="1" w:styleId="ListParagraphChar">
    <w:name w:val="List Paragraph Char"/>
    <w:aliases w:val="Body text Char,Bullet List Char,FooterText Char,List Paragraph1 Char,Colorful List Accent 1 Char,Colorful List - Accent 11 Char,Premier Char,Paragraphe de liste1 Char,List Paragraph-ExecSummary Char,List Paragraph (numbered (a)) Char"/>
    <w:link w:val="ListParagraph"/>
    <w:uiPriority w:val="34"/>
    <w:qFormat/>
    <w:locked/>
    <w:rsid w:val="007D4E38"/>
    <w:rPr>
      <w:rFonts w:ascii="Arial" w:eastAsiaTheme="minorEastAsia" w:hAnsi="Arial"/>
      <w:sz w:val="20"/>
      <w:szCs w:val="24"/>
    </w:rPr>
  </w:style>
  <w:style w:type="paragraph" w:styleId="EndnoteText">
    <w:name w:val="endnote text"/>
    <w:basedOn w:val="Normal"/>
    <w:link w:val="EndnoteTextChar"/>
    <w:uiPriority w:val="99"/>
    <w:semiHidden/>
    <w:unhideWhenUsed/>
    <w:rsid w:val="007C25D9"/>
    <w:pPr>
      <w:spacing w:before="0" w:after="0" w:line="240" w:lineRule="auto"/>
    </w:pPr>
    <w:rPr>
      <w:szCs w:val="20"/>
    </w:rPr>
  </w:style>
  <w:style w:type="character" w:customStyle="1" w:styleId="EndnoteTextChar">
    <w:name w:val="Endnote Text Char"/>
    <w:basedOn w:val="DefaultParagraphFont"/>
    <w:link w:val="EndnoteText"/>
    <w:uiPriority w:val="99"/>
    <w:semiHidden/>
    <w:rsid w:val="007C25D9"/>
    <w:rPr>
      <w:rFonts w:ascii="Arial" w:eastAsiaTheme="minorEastAsia" w:hAnsi="Arial"/>
      <w:sz w:val="20"/>
      <w:szCs w:val="20"/>
    </w:rPr>
  </w:style>
  <w:style w:type="character" w:styleId="EndnoteReference">
    <w:name w:val="endnote reference"/>
    <w:basedOn w:val="DefaultParagraphFont"/>
    <w:uiPriority w:val="99"/>
    <w:semiHidden/>
    <w:unhideWhenUsed/>
    <w:rsid w:val="007C25D9"/>
    <w:rPr>
      <w:vertAlign w:val="superscript"/>
    </w:rPr>
  </w:style>
  <w:style w:type="paragraph" w:styleId="BodyText">
    <w:name w:val="Body Text"/>
    <w:basedOn w:val="Normal"/>
    <w:next w:val="BodyTextIndent"/>
    <w:link w:val="BodyTextChar"/>
    <w:uiPriority w:val="8"/>
    <w:qFormat/>
    <w:rsid w:val="0020545E"/>
    <w:pPr>
      <w:suppressAutoHyphens/>
      <w:spacing w:before="0" w:line="276" w:lineRule="auto"/>
      <w:jc w:val="left"/>
    </w:pPr>
    <w:rPr>
      <w:rFonts w:asciiTheme="minorHAnsi" w:hAnsiTheme="minorHAnsi" w:cs="Times New Roman"/>
      <w:sz w:val="22"/>
      <w:szCs w:val="22"/>
    </w:rPr>
  </w:style>
  <w:style w:type="character" w:customStyle="1" w:styleId="BodyTextChar">
    <w:name w:val="Body Text Char"/>
    <w:basedOn w:val="DefaultParagraphFont"/>
    <w:link w:val="BodyText"/>
    <w:uiPriority w:val="8"/>
    <w:rsid w:val="0020545E"/>
    <w:rPr>
      <w:rFonts w:eastAsiaTheme="minorEastAsia" w:cs="Times New Roman"/>
    </w:rPr>
  </w:style>
  <w:style w:type="paragraph" w:styleId="BodyTextIndent">
    <w:name w:val="Body Text Indent"/>
    <w:basedOn w:val="BodyText"/>
    <w:link w:val="BodyTextIndentChar"/>
    <w:uiPriority w:val="8"/>
    <w:qFormat/>
    <w:rsid w:val="0020545E"/>
    <w:pPr>
      <w:ind w:firstLine="284"/>
    </w:pPr>
    <w:rPr>
      <w:rFonts w:cstheme="minorBidi"/>
    </w:rPr>
  </w:style>
  <w:style w:type="character" w:customStyle="1" w:styleId="BodyTextIndentChar">
    <w:name w:val="Body Text Indent Char"/>
    <w:basedOn w:val="DefaultParagraphFont"/>
    <w:link w:val="BodyTextIndent"/>
    <w:uiPriority w:val="8"/>
    <w:rsid w:val="0020545E"/>
    <w:rPr>
      <w:rFonts w:eastAsiaTheme="minorEastAsia"/>
    </w:rPr>
  </w:style>
  <w:style w:type="paragraph" w:styleId="ListBullet">
    <w:name w:val="List Bullet"/>
    <w:basedOn w:val="Normal"/>
    <w:uiPriority w:val="10"/>
    <w:qFormat/>
    <w:rsid w:val="0020545E"/>
    <w:pPr>
      <w:numPr>
        <w:numId w:val="1"/>
      </w:numPr>
      <w:suppressAutoHyphens/>
      <w:spacing w:before="0" w:line="276" w:lineRule="auto"/>
      <w:ind w:left="714" w:hanging="357"/>
      <w:jc w:val="left"/>
    </w:pPr>
    <w:rPr>
      <w:rFonts w:asciiTheme="minorHAnsi" w:hAnsiTheme="minorHAnsi"/>
      <w:sz w:val="22"/>
      <w:szCs w:val="22"/>
    </w:rPr>
  </w:style>
  <w:style w:type="paragraph" w:customStyle="1" w:styleId="EndNoteBibliographyTitle">
    <w:name w:val="EndNote Bibliography Title"/>
    <w:basedOn w:val="Normal"/>
    <w:link w:val="EndNoteBibliographyTitleChar"/>
    <w:rsid w:val="007B10FF"/>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7B10FF"/>
    <w:rPr>
      <w:rFonts w:ascii="Arial" w:eastAsiaTheme="minorEastAsia" w:hAnsi="Arial" w:cs="Arial"/>
      <w:noProof/>
      <w:sz w:val="20"/>
      <w:szCs w:val="24"/>
    </w:rPr>
  </w:style>
  <w:style w:type="paragraph" w:customStyle="1" w:styleId="EndNoteBibliography">
    <w:name w:val="EndNote Bibliography"/>
    <w:basedOn w:val="Normal"/>
    <w:link w:val="EndNoteBibliographyChar"/>
    <w:rsid w:val="007B10FF"/>
    <w:pPr>
      <w:spacing w:line="240" w:lineRule="auto"/>
      <w:jc w:val="left"/>
    </w:pPr>
    <w:rPr>
      <w:rFonts w:cs="Arial"/>
      <w:noProof/>
    </w:rPr>
  </w:style>
  <w:style w:type="character" w:customStyle="1" w:styleId="EndNoteBibliographyChar">
    <w:name w:val="EndNote Bibliography Char"/>
    <w:basedOn w:val="DefaultParagraphFont"/>
    <w:link w:val="EndNoteBibliography"/>
    <w:rsid w:val="007B10FF"/>
    <w:rPr>
      <w:rFonts w:ascii="Arial" w:eastAsiaTheme="minorEastAsia" w:hAnsi="Arial" w:cs="Arial"/>
      <w:noProof/>
      <w:sz w:val="20"/>
      <w:szCs w:val="24"/>
    </w:rPr>
  </w:style>
  <w:style w:type="table" w:styleId="TableGrid">
    <w:name w:val="Table Grid"/>
    <w:basedOn w:val="TableNormal"/>
    <w:uiPriority w:val="39"/>
    <w:rsid w:val="001C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5682"/>
    <w:rPr>
      <w:color w:val="605E5C"/>
      <w:shd w:val="clear" w:color="auto" w:fill="E1DFDD"/>
    </w:rPr>
  </w:style>
  <w:style w:type="table" w:customStyle="1" w:styleId="2">
    <w:name w:val="2"/>
    <w:basedOn w:val="TableNormal"/>
    <w:rsid w:val="00C919E8"/>
    <w:pPr>
      <w:spacing w:before="120" w:after="120" w:line="360" w:lineRule="auto"/>
      <w:jc w:val="both"/>
    </w:pPr>
    <w:rPr>
      <w:rFonts w:ascii="Times New Roman" w:eastAsia="Times New Roman" w:hAnsi="Times New Roman" w:cs="Times New Roman"/>
      <w:sz w:val="24"/>
      <w:szCs w:val="24"/>
      <w:lang w:val="en-GB"/>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77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5803">
      <w:bodyDiv w:val="1"/>
      <w:marLeft w:val="0"/>
      <w:marRight w:val="0"/>
      <w:marTop w:val="0"/>
      <w:marBottom w:val="0"/>
      <w:divBdr>
        <w:top w:val="none" w:sz="0" w:space="0" w:color="auto"/>
        <w:left w:val="none" w:sz="0" w:space="0" w:color="auto"/>
        <w:bottom w:val="none" w:sz="0" w:space="0" w:color="auto"/>
        <w:right w:val="none" w:sz="0" w:space="0" w:color="auto"/>
      </w:divBdr>
    </w:div>
    <w:div w:id="972297410">
      <w:bodyDiv w:val="1"/>
      <w:marLeft w:val="0"/>
      <w:marRight w:val="0"/>
      <w:marTop w:val="0"/>
      <w:marBottom w:val="0"/>
      <w:divBdr>
        <w:top w:val="none" w:sz="0" w:space="0" w:color="auto"/>
        <w:left w:val="none" w:sz="0" w:space="0" w:color="auto"/>
        <w:bottom w:val="none" w:sz="0" w:space="0" w:color="auto"/>
        <w:right w:val="none" w:sz="0" w:space="0" w:color="auto"/>
      </w:divBdr>
    </w:div>
    <w:div w:id="1012955539">
      <w:bodyDiv w:val="1"/>
      <w:marLeft w:val="0"/>
      <w:marRight w:val="0"/>
      <w:marTop w:val="0"/>
      <w:marBottom w:val="0"/>
      <w:divBdr>
        <w:top w:val="none" w:sz="0" w:space="0" w:color="auto"/>
        <w:left w:val="none" w:sz="0" w:space="0" w:color="auto"/>
        <w:bottom w:val="none" w:sz="0" w:space="0" w:color="auto"/>
        <w:right w:val="none" w:sz="0" w:space="0" w:color="auto"/>
      </w:divBdr>
    </w:div>
    <w:div w:id="1166438763">
      <w:bodyDiv w:val="1"/>
      <w:marLeft w:val="0"/>
      <w:marRight w:val="0"/>
      <w:marTop w:val="0"/>
      <w:marBottom w:val="0"/>
      <w:divBdr>
        <w:top w:val="none" w:sz="0" w:space="0" w:color="auto"/>
        <w:left w:val="none" w:sz="0" w:space="0" w:color="auto"/>
        <w:bottom w:val="none" w:sz="0" w:space="0" w:color="auto"/>
        <w:right w:val="none" w:sz="0" w:space="0" w:color="auto"/>
      </w:divBdr>
    </w:div>
    <w:div w:id="1366639023">
      <w:bodyDiv w:val="1"/>
      <w:marLeft w:val="0"/>
      <w:marRight w:val="0"/>
      <w:marTop w:val="0"/>
      <w:marBottom w:val="0"/>
      <w:divBdr>
        <w:top w:val="none" w:sz="0" w:space="0" w:color="auto"/>
        <w:left w:val="none" w:sz="0" w:space="0" w:color="auto"/>
        <w:bottom w:val="none" w:sz="0" w:space="0" w:color="auto"/>
        <w:right w:val="none" w:sz="0" w:space="0" w:color="auto"/>
      </w:divBdr>
    </w:div>
    <w:div w:id="1417246568">
      <w:bodyDiv w:val="1"/>
      <w:marLeft w:val="0"/>
      <w:marRight w:val="0"/>
      <w:marTop w:val="0"/>
      <w:marBottom w:val="0"/>
      <w:divBdr>
        <w:top w:val="none" w:sz="0" w:space="0" w:color="auto"/>
        <w:left w:val="none" w:sz="0" w:space="0" w:color="auto"/>
        <w:bottom w:val="none" w:sz="0" w:space="0" w:color="auto"/>
        <w:right w:val="none" w:sz="0" w:space="0" w:color="auto"/>
      </w:divBdr>
    </w:div>
    <w:div w:id="18452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blogs.worldbank.org/impactevaluations/six-questions-about-doing-power-calc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85D8FC-DEF9-4AA2-BF3B-A4A678FCBCB4}">
  <we:reference id="wa104382081" version="1.55.1.0" store="en-US" storeType="OMEX"/>
  <we:alternateReferences>
    <we:reference id="wa104382081" version="1.55.1.0" store="" storeType="OMEX"/>
  </we:alternateReferences>
  <we:properties>
    <we:property name="MENDELEY_CITATIONS" value="[{&quot;citationID&quot;:&quot;MENDELEY_CITATION_5175f620-15ac-41b3-99d3-a4f21aa29399&quot;,&quot;properties&quot;:{&quot;noteIndex&quot;:0},&quot;isEdited&quot;:false,&quot;manualOverride&quot;:{&quot;isManuallyOverridden&quot;:false,&quot;citeprocText&quot;:&quot;(Andrews et al., 2018; Beegle et al., 2018; Hidrobo et al., 2018)&quot;,&quot;manualOverrideText&quot;:&quot;&quot;},&quot;citationTag&quot;:&quot;MENDELEY_CITATION_v3_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&quot;,&quot;citationItems&quot;:[{&quot;id&quot;:&quot;df866cfc-89d1-34dd-a712-3f32d95a392c&quot;,&quot;itemData&quot;:{&quot;type&quot;:&quot;article-journal&quot;,&quot;id&quot;:&quot;df866cfc-89d1-34dd-a712-3f32d95a392c&quot;,&quot;title&quot;:&quot;Social safety nets promote poverty reduction, increase resilience, and expand opportunities&quot;,&quot;author&quot;:[{&quot;family&quot;:&quot;Andrews&quot;,&quot;given&quot;:&quot;Colin&quot;,&quot;parse-names&quot;:false,&quot;dropping-particle&quot;:&quot;&quot;,&quot;non-dropping-particle&quot;:&quot;&quot;},{&quot;family&quot;:&quot;Hsiao&quot;,&quot;given&quot;:&quot;Allan&quot;,&quot;parse-names&quot;:false,&quot;dropping-particle&quot;:&quot;&quot;,&quot;non-dropping-particle&quot;:&quot;&quot;},{&quot;family&quot;:&quot;Ralston&quot;,&quot;given&quot;:&quot;Laura&quot;,&quot;parse-names&quot;:false,&quot;dropping-particle&quot;:&quot;&quot;,&quot;non-dropping-particle&quot;:&quot;&quot;}],&quot;container-title&quot;:&quot;Realizing the Full Potential of Social Safety Nets in Africa, Washington, DC: World Bank&quot;,&quot;issued&quot;:{&quot;date-parts&quot;:[[2018]]},&quot;page&quot;:&quot;87-138&quot;,&quot;container-title-short&quot;:&quot;&quot;},&quot;isTemporary&quot;:false},{&quot;id&quot;:&quot;632a5328-2cd3-346f-85c8-9a5cd911b9b0&quot;,&quot;itemData&quot;:{&quot;type&quot;:&quot;article-journal&quot;,&quot;id&quot;:&quot;632a5328-2cd3-346f-85c8-9a5cd911b9b0&quot;,&quot;title&quot;:&quot;Social protection, food security, and asset formation&quot;,&quot;author&quot;:[{&quot;family&quot;:&quot;Hidrobo&quot;,&quot;given&quot;:&quot;Melissa&quot;,&quot;parse-names&quot;:false,&quot;dropping-particle&quot;:&quot;&quot;,&quot;non-dropping-particle&quot;:&quot;&quot;},{&quot;family&quot;:&quot;Hoddinott&quot;,&quot;given&quot;:&quot;John&quot;,&quot;parse-names&quot;:false,&quot;dropping-particle&quot;:&quot;&quot;,&quot;non-dropping-particle&quot;:&quot;&quot;},{&quot;family&quot;:&quot;Kumar&quot;,&quot;given&quot;:&quot;Neha&quot;,&quot;parse-names&quot;:false,&quot;dropping-particle&quot;:&quot;&quot;,&quot;non-dropping-particle&quot;:&quot;&quot;},{&quot;family&quot;:&quot;Olivier&quot;,&quot;given&quot;:&quot;Meghan&quot;,&quot;parse-names&quot;:false,&quot;dropping-particle&quot;:&quot;&quot;,&quot;non-dropping-particle&quot;:&quot;&quot;}],&quot;container-title&quot;:&quot;World Development&quot;,&quot;container-title-short&quot;:&quot;World Dev&quot;,&quot;ISSN&quot;:&quot;0305-750X&quot;,&quot;issued&quot;:{&quot;date-parts&quot;:[[2018]]},&quot;page&quot;:&quot;88-103&quot;,&quot;publisher&quot;:&quot;Elsevier&quot;,&quot;volume&quot;:&quot;101&quot;},&quot;isTemporary&quot;:false},{&quot;id&quot;:&quot;c2692e7f-b1e2-319e-b244-86b7546434ac&quot;,&quot;itemData&quot;:{&quot;type&quot;:&quot;book&quot;,&quot;id&quot;:&quot;c2692e7f-b1e2-319e-b244-86b7546434ac&quot;,&quot;title&quot;:&quot;Realizing the full potential of social safety nets in Africa&quot;,&quot;author&quot;:[{&quot;family&quot;:&quot;Beegle&quot;,&quot;given&quot;:&quot;Kathleen&quot;,&quot;parse-names&quot;:false,&quot;dropping-particle&quot;:&quot;&quot;,&quot;non-dropping-particle&quot;:&quot;&quot;},{&quot;family&quot;:&quot;Coudouel&quot;,&quot;given&quot;:&quot;Aline&quot;,&quot;parse-names&quot;:false,&quot;dropping-particle&quot;:&quot;&quot;,&quot;non-dropping-particle&quot;:&quot;&quot;},{&quot;family&quot;:&quot;Monsalve&quot;,&quot;given&quot;:&quot;Emma&quot;,&quot;parse-names&quot;:false,&quot;dropping-particle&quot;:&quot;&quot;,&quot;non-dropping-particle&quot;:&quot;&quot;}],&quot;ISBN&quot;:&quot;1464811660&quot;,&quot;issued&quot;:{&quot;date-parts&quot;:[[2018]]},&quot;publisher&quot;:&quot;World Bank Publications&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EA22E-4BB6-46C8-9A59-972A5CED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18621</Words>
  <Characters>106140</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Bogdanoski</dc:creator>
  <cp:keywords/>
  <dc:description/>
  <cp:lastModifiedBy>Leight, Jessica (IFPRI)</cp:lastModifiedBy>
  <cp:revision>6</cp:revision>
  <cp:lastPrinted>2023-08-26T10:02:00Z</cp:lastPrinted>
  <dcterms:created xsi:type="dcterms:W3CDTF">2023-09-11T17:45:00Z</dcterms:created>
  <dcterms:modified xsi:type="dcterms:W3CDTF">2023-09-11T18:07:00Z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1e572b2b05ffd3bee396bdbc173553b7c3f7db57dc4ccd2d6f8ac17b6ddfda99</vt:lpwstr>
  </property>
</Properties>
</file>